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1910" w:rsidRPr="00831910" w:rsidRDefault="00831910" w:rsidP="00831910">
      <w:pPr>
        <w:spacing w:after="0" w:line="240" w:lineRule="auto"/>
        <w:jc w:val="center"/>
        <w:rPr>
          <w:rFonts w:eastAsia="Times New Roman" w:cstheme="minorHAnsi"/>
          <w:sz w:val="28"/>
          <w:szCs w:val="24"/>
          <w:lang w:eastAsia="pl-PL"/>
        </w:rPr>
      </w:pPr>
      <w:proofErr w:type="spellStart"/>
      <w:r w:rsidRPr="00831910">
        <w:rPr>
          <w:rFonts w:eastAsia="Times New Roman" w:cstheme="minorHAnsi"/>
          <w:b/>
          <w:bCs/>
          <w:color w:val="222222"/>
          <w:sz w:val="24"/>
          <w:lang w:eastAsia="pl-PL"/>
        </w:rPr>
        <w:t>rakki</w:t>
      </w:r>
      <w:proofErr w:type="spellEnd"/>
      <w:r w:rsidRPr="00831910">
        <w:rPr>
          <w:rFonts w:eastAsia="Times New Roman" w:cstheme="minorHAnsi"/>
          <w:b/>
          <w:bCs/>
          <w:color w:val="222222"/>
          <w:sz w:val="24"/>
          <w:lang w:eastAsia="pl-PL"/>
        </w:rPr>
        <w:t>. Komunikacja emocjonalna w chorobie nowotworowej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b/>
          <w:bCs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b/>
          <w:bCs/>
          <w:color w:val="222222"/>
          <w:lang w:eastAsia="pl-PL"/>
        </w:rPr>
        <w:t xml:space="preserve">Diagnoza nowotworowa to moment, który zmienia wszystko. Nie tylko dla chorego, ale również dla jego najbliższych. Jak o niej rozmawiać? Jak wyrażać towarzyszące jej emocje? Odpowiedzi na te pytania szukał Jacek </w:t>
      </w:r>
      <w:proofErr w:type="spellStart"/>
      <w:r w:rsidRPr="00831910">
        <w:rPr>
          <w:rFonts w:eastAsia="Times New Roman" w:cstheme="minorHAnsi"/>
          <w:b/>
          <w:bCs/>
          <w:color w:val="222222"/>
          <w:lang w:eastAsia="pl-PL"/>
        </w:rPr>
        <w:t>Dajewski</w:t>
      </w:r>
      <w:proofErr w:type="spellEnd"/>
      <w:r w:rsidRPr="00831910">
        <w:rPr>
          <w:rFonts w:eastAsia="Times New Roman" w:cstheme="minorHAnsi"/>
          <w:b/>
          <w:bCs/>
          <w:color w:val="222222"/>
          <w:lang w:eastAsia="pl-PL"/>
        </w:rPr>
        <w:t>, absolwent School of Form, autor gry „</w:t>
      </w:r>
      <w:proofErr w:type="spellStart"/>
      <w:r w:rsidRPr="00831910">
        <w:rPr>
          <w:rFonts w:eastAsia="Times New Roman" w:cstheme="minorHAnsi"/>
          <w:b/>
          <w:bCs/>
          <w:color w:val="222222"/>
          <w:lang w:eastAsia="pl-PL"/>
        </w:rPr>
        <w:t>rakki</w:t>
      </w:r>
      <w:proofErr w:type="spellEnd"/>
      <w:r w:rsidRPr="00831910">
        <w:rPr>
          <w:rFonts w:eastAsia="Times New Roman" w:cstheme="minorHAnsi"/>
          <w:b/>
          <w:bCs/>
          <w:color w:val="222222"/>
          <w:lang w:eastAsia="pl-PL"/>
        </w:rPr>
        <w:t>.”.</w:t>
      </w:r>
      <w:bookmarkStart w:id="0" w:name="_GoBack"/>
      <w:bookmarkEnd w:id="0"/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b/>
          <w:bCs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 xml:space="preserve">Osoby chore oraz ich nieformalni opiekunowie (osoby bez wykształcenia opiekuńczego, które zajmują się swoim bliskim), a także przyjaciele doświadczają szeregu trudności emocjonalnych, </w:t>
      </w:r>
      <w:r w:rsidRPr="00831910">
        <w:rPr>
          <w:rFonts w:eastAsia="Times New Roman" w:cstheme="minorHAnsi"/>
          <w:color w:val="000000"/>
          <w:lang w:eastAsia="pl-PL"/>
        </w:rPr>
        <w:t>m.in</w:t>
      </w:r>
      <w:r w:rsidRPr="00831910">
        <w:rPr>
          <w:rFonts w:eastAsia="Times New Roman" w:cstheme="minorHAnsi"/>
          <w:color w:val="222222"/>
          <w:lang w:eastAsia="pl-PL"/>
        </w:rPr>
        <w:t>.: wyparcia, izolacji społecznej, stanów lękowych oraz wypalenia. „</w:t>
      </w:r>
      <w:proofErr w:type="spellStart"/>
      <w:r w:rsidRPr="00831910">
        <w:rPr>
          <w:rFonts w:eastAsia="Times New Roman" w:cstheme="minorHAnsi"/>
          <w:color w:val="222222"/>
          <w:lang w:eastAsia="pl-PL"/>
        </w:rPr>
        <w:t>rakki</w:t>
      </w:r>
      <w:proofErr w:type="spellEnd"/>
      <w:r w:rsidRPr="00831910">
        <w:rPr>
          <w:rFonts w:eastAsia="Times New Roman" w:cstheme="minorHAnsi"/>
          <w:color w:val="222222"/>
          <w:lang w:eastAsia="pl-PL"/>
        </w:rPr>
        <w:t>.” to projekt z zakresu designu empatycznego, który ma służyć jako podpora zarówno w emocjonalnie wymagającej sytuacji po diagnozie, jak i w całym okresie trwania choroby. Nie tylko dla osoby chorej, ale również dla jej bliskich, którzy czują niemoc i nie potrafią odnaleźć się w tej nowej sytuacji.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b/>
          <w:bCs/>
          <w:color w:val="222222"/>
          <w:lang w:eastAsia="pl-PL"/>
        </w:rPr>
        <w:t>Konfrontacja z lękiem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 xml:space="preserve">Rak pomimo ciągłego rozwoju medycyny, nadal postrzegany jest jako wyrok śmierci. Traktowany jest częściej jako inteligentny i wysoce niebezpieczny przeciwnik niż choroba. Większość mitów i przekonań, w które obrósł, nie ma podstaw naukowych – wynikają raczej z ludzkiego strachu przed tym co nieznane i śmiertelne. Człowiek słysząc diagnozę, przechodzi do przerażającego świata, w którym musi mierzyć się nie tylko z chorobą, ale również z latami przeświadczeń podświadomie czerpanych z kultury. Jacek </w:t>
      </w:r>
      <w:proofErr w:type="spellStart"/>
      <w:r w:rsidRPr="00831910">
        <w:rPr>
          <w:rFonts w:eastAsia="Times New Roman" w:cstheme="minorHAnsi"/>
          <w:color w:val="222222"/>
          <w:lang w:eastAsia="pl-PL"/>
        </w:rPr>
        <w:t>Dajewski</w:t>
      </w:r>
      <w:proofErr w:type="spellEnd"/>
      <w:r w:rsidRPr="00831910">
        <w:rPr>
          <w:rFonts w:eastAsia="Times New Roman" w:cstheme="minorHAnsi"/>
          <w:color w:val="222222"/>
          <w:lang w:eastAsia="pl-PL"/>
        </w:rPr>
        <w:t xml:space="preserve"> w swoim projekcie skupił się na postawach osób zdrowych wobec samego, a także cechach, które charakterologiczne przypisywane są chorym.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i/>
          <w:iCs/>
          <w:color w:val="222222"/>
          <w:lang w:eastAsia="pl-PL"/>
        </w:rPr>
        <w:t xml:space="preserve">W Polsce nie jesteśmy nauczeni rozmowy o emocjach, to stanowi pierwszą trudność. Co więcej, sam rak jest stanem chorobowym niesamowicie stygmatyzującym – diagnoza jednoznacznie kojarzy się ze śmiercią. Rak postrzegany jest jako przeciwnik – inteligentny twór, który należy </w:t>
      </w:r>
      <w:r w:rsidRPr="00831910">
        <w:rPr>
          <w:rFonts w:eastAsia="Times New Roman" w:cstheme="minorHAnsi"/>
          <w:color w:val="222222"/>
          <w:lang w:eastAsia="pl-PL"/>
        </w:rPr>
        <w:t>„</w:t>
      </w:r>
      <w:r w:rsidRPr="00831910">
        <w:rPr>
          <w:rFonts w:eastAsia="Times New Roman" w:cstheme="minorHAnsi"/>
          <w:i/>
          <w:iCs/>
          <w:color w:val="222222"/>
          <w:lang w:eastAsia="pl-PL"/>
        </w:rPr>
        <w:t>pokonać</w:t>
      </w:r>
      <w:r w:rsidRPr="00831910">
        <w:rPr>
          <w:rFonts w:eastAsia="Times New Roman" w:cstheme="minorHAnsi"/>
          <w:color w:val="222222"/>
          <w:lang w:eastAsia="pl-PL"/>
        </w:rPr>
        <w:t>”</w:t>
      </w:r>
      <w:r w:rsidRPr="00831910">
        <w:rPr>
          <w:rFonts w:eastAsia="Times New Roman" w:cstheme="minorHAnsi"/>
          <w:i/>
          <w:iCs/>
          <w:color w:val="222222"/>
          <w:lang w:eastAsia="pl-PL"/>
        </w:rPr>
        <w:t xml:space="preserve">, </w:t>
      </w:r>
      <w:r w:rsidRPr="00831910">
        <w:rPr>
          <w:rFonts w:eastAsia="Times New Roman" w:cstheme="minorHAnsi"/>
          <w:color w:val="222222"/>
          <w:lang w:eastAsia="pl-PL"/>
        </w:rPr>
        <w:t>”</w:t>
      </w:r>
      <w:r w:rsidRPr="00831910">
        <w:rPr>
          <w:rFonts w:eastAsia="Times New Roman" w:cstheme="minorHAnsi"/>
          <w:i/>
          <w:iCs/>
          <w:color w:val="222222"/>
          <w:lang w:eastAsia="pl-PL"/>
        </w:rPr>
        <w:t xml:space="preserve">zwyciężyć” albo niechybnie ”przegra się walkę”. Co więcej z dużą lekkością wszyscy używamy zwrotu, że ”coś jest jak rak”, podkreślając ohydność i niszczący wpływ danej rzeczy. Dlatego chorzy często odcinają się od środowiska, czując się przytłoczeni nowotworem – </w:t>
      </w:r>
      <w:r w:rsidRPr="00831910">
        <w:rPr>
          <w:rFonts w:eastAsia="Times New Roman" w:cstheme="minorHAnsi"/>
          <w:color w:val="222222"/>
          <w:lang w:eastAsia="pl-PL"/>
        </w:rPr>
        <w:t>komentuje artysta.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b/>
          <w:bCs/>
          <w:color w:val="222222"/>
          <w:lang w:eastAsia="pl-PL"/>
        </w:rPr>
        <w:t>Porozmawiajmy o tym, co czujesz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Drewniana gra planszowa ma za zadanie uczyć i dawać przyzwolenie na otwartą i empatyczną rozmowę o emocjach związanych zarówno z tematami takimi, jak codzienność lub marzenia oraz tymi trudniejszymi, jak śmierć, zależność czy cierpienie. Gra nie jest nastawiona na rywalizację, lecz na współdziałanie – celem zawodników jest poznanie i komunikacja swoich stanów emocjonalnych. Tylko słuchając siebie nawzajem i pomagając sobie zrozumieć zawiłości przeżywanych emocji związanych z sytuacją graczy, będą oni w stanie w pełni skorzystać z korzyści wynikających z rozgrywki.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i/>
          <w:iCs/>
          <w:color w:val="222222"/>
          <w:lang w:eastAsia="pl-PL"/>
        </w:rPr>
        <w:t>Inspirację do tematu projektu czerpałem dwojako – pierwszym punktem zaczepienia było moje osobiste doświadczenie. W trakcie studiów dowiedzieliśmy się, że moja mama ma guza mózgu. Podczas obserwowania zmian, jakie następowały w naszej relacji skupiłem się na potrzebach i doświadczeniach emocjonalnych obu stron – osoby chorej i opiekuna. Moje odczucia porównałem do raportów na temat stanów emocjonalnych i utwierdziłem się w przekonaniu, że problemy komunikacyjne leżą u podstaw takich stanów, jak np.: wypalenie opiekuna, PTSD czy depresja. Chorzy czują się niezrozumiani, a jednocześnie trudno im prosić o większą pomoc, ponieważ w ich odczuciu są już wystarczającym obciążeniem dla swoich bliskich. Ich opiekunowie (w rozumieniu nieformalnego opiekuna) natomiast czują, że nie mają prawa do własnego życia i obwiniają się, gdy zajmują się czymś innym niż opieka</w:t>
      </w:r>
      <w:r w:rsidRPr="00831910">
        <w:rPr>
          <w:rFonts w:eastAsia="Times New Roman" w:cstheme="minorHAnsi"/>
          <w:color w:val="222222"/>
          <w:lang w:eastAsia="pl-PL"/>
        </w:rPr>
        <w:t xml:space="preserve"> – mówi Jacek </w:t>
      </w:r>
      <w:proofErr w:type="spellStart"/>
      <w:r w:rsidRPr="00831910">
        <w:rPr>
          <w:rFonts w:eastAsia="Times New Roman" w:cstheme="minorHAnsi"/>
          <w:color w:val="222222"/>
          <w:lang w:eastAsia="pl-PL"/>
        </w:rPr>
        <w:t>Dajewski</w:t>
      </w:r>
      <w:proofErr w:type="spellEnd"/>
      <w:r w:rsidRPr="00831910">
        <w:rPr>
          <w:rFonts w:eastAsia="Times New Roman" w:cstheme="minorHAnsi"/>
          <w:color w:val="222222"/>
          <w:lang w:eastAsia="pl-PL"/>
        </w:rPr>
        <w:t>.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lastRenderedPageBreak/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 xml:space="preserve">Projektant czytał także książki, które przybliżały temat życia z nowotworem oraz korzystał z metod </w:t>
      </w:r>
      <w:proofErr w:type="spellStart"/>
      <w:r w:rsidRPr="00831910">
        <w:rPr>
          <w:rFonts w:eastAsia="Times New Roman" w:cstheme="minorHAnsi"/>
          <w:color w:val="222222"/>
          <w:lang w:eastAsia="pl-PL"/>
        </w:rPr>
        <w:t>netnograficznych</w:t>
      </w:r>
      <w:proofErr w:type="spellEnd"/>
      <w:r w:rsidRPr="00831910">
        <w:rPr>
          <w:rFonts w:eastAsia="Times New Roman" w:cstheme="minorHAnsi"/>
          <w:color w:val="222222"/>
          <w:lang w:eastAsia="pl-PL"/>
        </w:rPr>
        <w:t xml:space="preserve"> – sprawdzał fora i rozmawiał z ludźmi, którzy w jakiś sposób przeżyli chorobę onkologiczną swoją lub kogoś bliskiego. Przygotował również krótką ankietę internetową dla nieformalnych opiekunów osoby chorej na raka.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Ważne było stworzenie formy, która przypomina coś przyjemnego, oswojonego, zapewniając bezpieczeństwo emocjonalne. Inspirując się wieloma produktami, które ułatwiają komunikację oraz doświadczeniami rodzinnych wieczorów spędzonych na graniu w planszówki, wybrał formę gry. „</w:t>
      </w:r>
      <w:proofErr w:type="spellStart"/>
      <w:r w:rsidRPr="00831910">
        <w:rPr>
          <w:rFonts w:eastAsia="Times New Roman" w:cstheme="minorHAnsi"/>
          <w:color w:val="222222"/>
          <w:lang w:eastAsia="pl-PL"/>
        </w:rPr>
        <w:t>rakki</w:t>
      </w:r>
      <w:proofErr w:type="spellEnd"/>
      <w:r w:rsidRPr="00831910">
        <w:rPr>
          <w:rFonts w:eastAsia="Times New Roman" w:cstheme="minorHAnsi"/>
          <w:color w:val="222222"/>
          <w:lang w:eastAsia="pl-PL"/>
        </w:rPr>
        <w:t>.” to nie tylko rozgrywka, jest to przede wszystkim medium umożliwiające i zachęcające do emocjonalnej rozmowy na tematy, które trudno jest poruszać na co dzień.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b/>
          <w:bCs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b/>
          <w:bCs/>
          <w:color w:val="222222"/>
          <w:lang w:eastAsia="pl-PL"/>
        </w:rPr>
        <w:t>Jak grać?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Forma gry ma działać uspokajająco – przypomina ona stare plansze szachowe (to pudełko przeznaczone do części elementów, otwierające się na zawias), dlatego jest czymś oswojonym. Plansza, klocki z nazwami emocji oraz okrągłe klocki są zrobione z drewna, tak by zapewnić jak najbardziej przyjemne dla dłoni doznania. Karty zostały pokryte jedwabistą powłoką, dlatego również są miłe w dotyku. Wszystkie elementy zapakowane są w naturalne lniane worki, by jeszcze bardziej uprzyjemnić grę.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i/>
          <w:iCs/>
          <w:color w:val="222222"/>
          <w:lang w:eastAsia="pl-PL"/>
        </w:rPr>
        <w:t>Klocki z nazwami emocji na jednej ściance mają wyżłobienia, ponieważ zauważyłem, że na osoby stresujące się tematem rozmowy często korzystnie wpływa obracanie i dotykanie przedmiotu, który mają w ręce. Chropowate żłobienia służą do łagodzenia stresu graczy</w:t>
      </w:r>
      <w:r w:rsidRPr="00831910">
        <w:rPr>
          <w:rFonts w:eastAsia="Times New Roman" w:cstheme="minorHAnsi"/>
          <w:color w:val="222222"/>
          <w:lang w:eastAsia="pl-PL"/>
        </w:rPr>
        <w:t xml:space="preserve"> – tłumaczy twórca.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 </w:t>
      </w:r>
    </w:p>
    <w:p w:rsidR="00831910" w:rsidRPr="00831910" w:rsidRDefault="00831910" w:rsidP="0083191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831910">
        <w:rPr>
          <w:rFonts w:eastAsia="Times New Roman" w:cstheme="minorHAnsi"/>
          <w:color w:val="222222"/>
          <w:lang w:eastAsia="pl-PL"/>
        </w:rPr>
        <w:t>Głównym zadaniem graczy jest nałożenie struktury na rozmowę o emocjach. Dwójka uczestników ma przed sobą planszę, dwa zestawy klocków z nazwami emocji, karty, klepsydrę oraz okrągłe klocki. Logika gry jest prosta, gracze losują kartę, czytają na głos temat, o jakim mają rozmawiać (np.: dom, czas wolny, wakacje, ból, diagnoza, śmierć). Następnie przekręcają klepsydrę i mają trzy minuty, by wybrać 5–7 klocków z nazwami emocji, jakie właśnie czują. Układają je w wydzielonym miejscu na planszy tak, aby druga osoba ich nie widziała. Mierzenie czasu jest ważne, by gracze wybierali skojarzenia, kierując się pierwszym odczuciem. Gdy już podejmą decyzję, pokazują sobie klocki z emocjami i tłumaczą, opowiadając o konkretnych sytuacjach, kiedy i dlaczego tak się czują. Kiedy każda emocja zostanie omówiona, kładą jedną drewnianą kulkę na wyżłobionej części planszy i przechodzą do kolejnej karty.</w:t>
      </w:r>
    </w:p>
    <w:p w:rsidR="00581EC8" w:rsidRDefault="00581EC8" w:rsidP="00831910">
      <w:pPr>
        <w:jc w:val="both"/>
        <w:rPr>
          <w:rFonts w:cstheme="minorHAnsi"/>
        </w:rPr>
      </w:pPr>
    </w:p>
    <w:p w:rsidR="00760AAC" w:rsidRDefault="00760AAC" w:rsidP="00760AAC">
      <w:pPr>
        <w:rPr>
          <w:color w:val="000000"/>
        </w:rPr>
      </w:pPr>
      <w:r>
        <w:rPr>
          <w:color w:val="000000"/>
        </w:rPr>
        <w:t>***</w:t>
      </w:r>
    </w:p>
    <w:p w:rsidR="00760AAC" w:rsidRDefault="00760AAC" w:rsidP="00760AA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b/>
          <w:color w:val="222222"/>
        </w:rPr>
      </w:pPr>
    </w:p>
    <w:p w:rsidR="00760AAC" w:rsidRPr="00915619" w:rsidRDefault="00760AAC" w:rsidP="00760AA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  <w:sz w:val="20"/>
          <w:szCs w:val="20"/>
        </w:rPr>
      </w:pPr>
      <w:r w:rsidRPr="00915619">
        <w:rPr>
          <w:b/>
          <w:color w:val="222222"/>
          <w:sz w:val="20"/>
          <w:szCs w:val="20"/>
        </w:rPr>
        <w:t>Uniwersytet SWPS</w:t>
      </w:r>
      <w:r w:rsidRPr="00915619">
        <w:rPr>
          <w:color w:val="222222"/>
          <w:sz w:val="20"/>
          <w:szCs w:val="20"/>
        </w:rPr>
        <w:t xml:space="preserve"> to nowoczesna uczelnia oparta na trwałych wartościach. Silną pozycję zawdzięcza połączeniu wysokiej jakości dydaktyki z badaniami naukowymi spełniającymi światowe standardy. Oferuje praktyczne programy studiów z psychologii, prawa, zarządzania, dziennikarstwa, filologii, kulturoznawstwa czy wzornictwa, dostosowane do wymagań zmieniającego się rynku pracy. Uniwersytet SWPS kształci ponad 17,5 tys. studentów w pięciu miastach: Warszawie, Wrocławiu, Sopocie, Poznaniu i Katowicach. Uczelnia posiada uprawnienia do nadawania stopnia naukowego doktora w pięciu dyscyplinach: psychologia, literaturoznawstwo, nauki o kulturze i religii, nauki socjologiczne, nauki prawne oraz doktora habilitowanego: </w:t>
      </w:r>
      <w:r w:rsidRPr="00915619">
        <w:rPr>
          <w:color w:val="121212"/>
          <w:sz w:val="20"/>
          <w:szCs w:val="20"/>
          <w:highlight w:val="white"/>
        </w:rPr>
        <w:t xml:space="preserve">nauk społecznych i humanistycznych </w:t>
      </w:r>
      <w:r w:rsidRPr="00915619">
        <w:rPr>
          <w:color w:val="121212"/>
          <w:sz w:val="20"/>
          <w:szCs w:val="20"/>
          <w:highlight w:val="white"/>
        </w:rPr>
        <w:br/>
        <w:t>z psychologii, kulturoznawstwa i prawa.</w:t>
      </w:r>
    </w:p>
    <w:p w:rsidR="00760AAC" w:rsidRPr="00915619" w:rsidRDefault="00760AAC" w:rsidP="00760AA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  <w:sz w:val="20"/>
          <w:szCs w:val="20"/>
        </w:rPr>
      </w:pPr>
      <w:r w:rsidRPr="00915619">
        <w:rPr>
          <w:color w:val="222222"/>
          <w:sz w:val="20"/>
          <w:szCs w:val="20"/>
        </w:rPr>
        <w:lastRenderedPageBreak/>
        <w:t xml:space="preserve"> </w:t>
      </w:r>
    </w:p>
    <w:p w:rsidR="00760AAC" w:rsidRPr="00915619" w:rsidRDefault="00760AAC" w:rsidP="00760AA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  <w:sz w:val="20"/>
          <w:szCs w:val="20"/>
        </w:rPr>
      </w:pPr>
      <w:r w:rsidRPr="00915619">
        <w:rPr>
          <w:color w:val="222222"/>
          <w:sz w:val="20"/>
          <w:szCs w:val="20"/>
        </w:rPr>
        <w:t xml:space="preserve">Tradycją uczelni są cykle otwartych wydarzeń naukowych, popularnonaukowych i kulturalnych. Częstymi gośćmi Uniwersytetu SWPS są światowej sławy naukowcy, znani artyści i przedstawiciele świata mediów. Jako jeden </w:t>
      </w:r>
      <w:r w:rsidRPr="00915619">
        <w:rPr>
          <w:color w:val="222222"/>
          <w:sz w:val="20"/>
          <w:szCs w:val="20"/>
        </w:rPr>
        <w:br/>
        <w:t xml:space="preserve">z najlepszych ośrodków psychologicznych w kraju, uniwersytet popularyzuje wiedzę psychologiczną realizując projekty: </w:t>
      </w:r>
      <w:hyperlink r:id="rId6">
        <w:r w:rsidRPr="00915619">
          <w:rPr>
            <w:color w:val="1155CC"/>
            <w:sz w:val="20"/>
            <w:szCs w:val="20"/>
            <w:u w:val="single"/>
          </w:rPr>
          <w:t>Strefa Psyche</w:t>
        </w:r>
      </w:hyperlink>
      <w:r w:rsidRPr="00915619">
        <w:rPr>
          <w:color w:val="222222"/>
          <w:sz w:val="20"/>
          <w:szCs w:val="20"/>
        </w:rPr>
        <w:t xml:space="preserve">, </w:t>
      </w:r>
      <w:hyperlink r:id="rId7">
        <w:r w:rsidRPr="00915619">
          <w:rPr>
            <w:color w:val="1155CC"/>
            <w:sz w:val="20"/>
            <w:szCs w:val="20"/>
            <w:u w:val="single"/>
          </w:rPr>
          <w:t>Strefa Prawa</w:t>
        </w:r>
      </w:hyperlink>
      <w:r w:rsidRPr="00915619">
        <w:rPr>
          <w:color w:val="222222"/>
          <w:sz w:val="20"/>
          <w:szCs w:val="20"/>
        </w:rPr>
        <w:t xml:space="preserve">, </w:t>
      </w:r>
      <w:hyperlink r:id="rId8">
        <w:r w:rsidRPr="00915619">
          <w:rPr>
            <w:color w:val="1155CC"/>
            <w:sz w:val="20"/>
            <w:szCs w:val="20"/>
            <w:u w:val="single"/>
          </w:rPr>
          <w:t>Strefa Kultur</w:t>
        </w:r>
      </w:hyperlink>
      <w:r w:rsidRPr="00915619">
        <w:rPr>
          <w:color w:val="222222"/>
          <w:sz w:val="20"/>
          <w:szCs w:val="20"/>
        </w:rPr>
        <w:t xml:space="preserve">, </w:t>
      </w:r>
      <w:hyperlink r:id="rId9">
        <w:r w:rsidRPr="00915619">
          <w:rPr>
            <w:color w:val="1155CC"/>
            <w:sz w:val="20"/>
            <w:szCs w:val="20"/>
            <w:u w:val="single"/>
          </w:rPr>
          <w:t>Strefa Zarządzania</w:t>
        </w:r>
      </w:hyperlink>
      <w:r w:rsidRPr="00915619">
        <w:rPr>
          <w:color w:val="222222"/>
          <w:sz w:val="20"/>
          <w:szCs w:val="20"/>
        </w:rPr>
        <w:t xml:space="preserve"> i </w:t>
      </w:r>
      <w:hyperlink r:id="rId10">
        <w:r w:rsidRPr="00915619">
          <w:rPr>
            <w:color w:val="1155CC"/>
            <w:sz w:val="20"/>
            <w:szCs w:val="20"/>
            <w:u w:val="single"/>
          </w:rPr>
          <w:t>Strefa Designu</w:t>
        </w:r>
      </w:hyperlink>
      <w:r w:rsidRPr="00915619">
        <w:rPr>
          <w:color w:val="222222"/>
          <w:sz w:val="20"/>
          <w:szCs w:val="20"/>
        </w:rPr>
        <w:t>.</w:t>
      </w:r>
    </w:p>
    <w:p w:rsidR="00760AAC" w:rsidRPr="00831910" w:rsidRDefault="00760AAC" w:rsidP="00831910">
      <w:pPr>
        <w:jc w:val="both"/>
        <w:rPr>
          <w:rFonts w:cstheme="minorHAnsi"/>
        </w:rPr>
      </w:pPr>
    </w:p>
    <w:sectPr w:rsidR="00760AAC" w:rsidRPr="00831910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81350" w:rsidRDefault="00181350" w:rsidP="00760AAC">
      <w:pPr>
        <w:spacing w:after="0" w:line="240" w:lineRule="auto"/>
      </w:pPr>
      <w:r>
        <w:separator/>
      </w:r>
    </w:p>
  </w:endnote>
  <w:endnote w:type="continuationSeparator" w:id="0">
    <w:p w:rsidR="00181350" w:rsidRDefault="00181350" w:rsidP="00760A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81350" w:rsidRDefault="00181350" w:rsidP="00760AAC">
      <w:pPr>
        <w:spacing w:after="0" w:line="240" w:lineRule="auto"/>
      </w:pPr>
      <w:r>
        <w:separator/>
      </w:r>
    </w:p>
  </w:footnote>
  <w:footnote w:type="continuationSeparator" w:id="0">
    <w:p w:rsidR="00181350" w:rsidRDefault="00181350" w:rsidP="00760A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60AAC" w:rsidRDefault="00760AAC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right</wp:align>
          </wp:positionH>
          <wp:positionV relativeFrom="paragraph">
            <wp:posOffset>-138430</wp:posOffset>
          </wp:positionV>
          <wp:extent cx="825500" cy="869950"/>
          <wp:effectExtent l="0" t="0" r="0" b="6350"/>
          <wp:wrapTopAndBottom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5500" cy="869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6596"/>
    <w:rsid w:val="00181350"/>
    <w:rsid w:val="002149DB"/>
    <w:rsid w:val="00237F39"/>
    <w:rsid w:val="003546B6"/>
    <w:rsid w:val="00371991"/>
    <w:rsid w:val="003A61E9"/>
    <w:rsid w:val="00581EC8"/>
    <w:rsid w:val="00610644"/>
    <w:rsid w:val="00760AAC"/>
    <w:rsid w:val="00831910"/>
    <w:rsid w:val="00871FFC"/>
    <w:rsid w:val="00A22919"/>
    <w:rsid w:val="00B76C23"/>
    <w:rsid w:val="00E30B7C"/>
    <w:rsid w:val="00EC311E"/>
    <w:rsid w:val="00F02299"/>
    <w:rsid w:val="00FC6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586A3"/>
  <w15:chartTrackingRefBased/>
  <w15:docId w15:val="{5E0DD657-7B49-4ADF-93BD-6FC23D2814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FC65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760A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60AAC"/>
  </w:style>
  <w:style w:type="paragraph" w:styleId="Stopka">
    <w:name w:val="footer"/>
    <w:basedOn w:val="Normalny"/>
    <w:link w:val="StopkaZnak"/>
    <w:uiPriority w:val="99"/>
    <w:unhideWhenUsed/>
    <w:rsid w:val="00760A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60A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584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7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7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0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57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040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237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12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90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476635">
          <w:marLeft w:val="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wps.pl/strefa-kultur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swps.pl/strefa-prawa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swps.pl/strefa-psyche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https://design.swps.pl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www.swps.pl/strefa-zarzadzania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1078</Words>
  <Characters>6473</Characters>
  <Application>Microsoft Office Word</Application>
  <DocSecurity>0</DocSecurity>
  <Lines>53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Krzyżkowiak</dc:creator>
  <cp:keywords/>
  <dc:description/>
  <cp:lastModifiedBy>Magdalena Krzyżkowiak</cp:lastModifiedBy>
  <cp:revision>4</cp:revision>
  <dcterms:created xsi:type="dcterms:W3CDTF">2022-02-10T11:50:00Z</dcterms:created>
  <dcterms:modified xsi:type="dcterms:W3CDTF">2022-02-10T11:52:00Z</dcterms:modified>
</cp:coreProperties>
</file>