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4E1083" w14:textId="77777777" w:rsidR="0035461E" w:rsidRDefault="0035461E">
      <w:pPr>
        <w:spacing w:line="288" w:lineRule="auto"/>
        <w:jc w:val="both"/>
        <w:rPr>
          <w:sz w:val="22"/>
          <w:szCs w:val="22"/>
        </w:rPr>
      </w:pPr>
    </w:p>
    <w:p w14:paraId="68DC66B3" w14:textId="77777777" w:rsidR="0035461E" w:rsidRDefault="0035461E">
      <w:pPr>
        <w:spacing w:line="288" w:lineRule="auto"/>
        <w:jc w:val="both"/>
        <w:rPr>
          <w:rFonts w:ascii="Arial" w:hAnsi="Arial"/>
          <w:sz w:val="22"/>
          <w:szCs w:val="22"/>
        </w:rPr>
      </w:pPr>
    </w:p>
    <w:p w14:paraId="1C275004" w14:textId="1C03F843" w:rsidR="00A03759" w:rsidRPr="00A03759" w:rsidRDefault="00A03759" w:rsidP="00A03759">
      <w:pPr>
        <w:pStyle w:val="Nagwek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cs="Calibri"/>
          <w:b w:val="0"/>
          <w:bCs w:val="0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Aleksander </w:t>
      </w:r>
      <w:proofErr w:type="spellStart"/>
      <w:r>
        <w:rPr>
          <w:rFonts w:ascii="Arial" w:hAnsi="Arial"/>
          <w:sz w:val="22"/>
          <w:szCs w:val="22"/>
        </w:rPr>
        <w:t>Hyżorek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r w:rsidR="00590F5A" w:rsidRPr="00590F5A">
        <w:rPr>
          <w:rFonts w:cs="Calibri"/>
          <w:sz w:val="22"/>
          <w:szCs w:val="22"/>
        </w:rPr>
        <w:t>–</w:t>
      </w:r>
      <w:r w:rsidR="006D286F" w:rsidRPr="00590F5A">
        <w:rPr>
          <w:rFonts w:cs="Calibri"/>
          <w:sz w:val="22"/>
          <w:szCs w:val="22"/>
        </w:rPr>
        <w:t xml:space="preserve"> </w:t>
      </w:r>
      <w:r w:rsidRPr="00A03759">
        <w:rPr>
          <w:rFonts w:cs="Calibri"/>
          <w:b w:val="0"/>
          <w:bCs w:val="0"/>
          <w:sz w:val="22"/>
          <w:szCs w:val="22"/>
        </w:rPr>
        <w:t>Prawnik. Naukowo zajmuje się prawem i postępowaniem administracyjnym, prawem publicznym gospodarczym oraz prawnymi aspektami rynku nieruchomości. Analizuje proces uzyskiwania decyzji administracyjnych, stosunek organów administracji publicznej do obywateli i przedsiębiorców, zaskarżalność aktów administracyjnych do sądu administracyjnego oraz formy i sposoby działania administracji publicznej.</w:t>
      </w:r>
    </w:p>
    <w:p w14:paraId="3C8AE1FB" w14:textId="77777777" w:rsidR="00A03759" w:rsidRPr="00A03759" w:rsidRDefault="00A03759" w:rsidP="00A03759">
      <w:pPr>
        <w:pStyle w:val="Nagwek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cs="Calibri"/>
          <w:b w:val="0"/>
          <w:bCs w:val="0"/>
          <w:sz w:val="22"/>
          <w:szCs w:val="22"/>
        </w:rPr>
      </w:pPr>
      <w:r w:rsidRPr="00A03759">
        <w:rPr>
          <w:rFonts w:cs="Calibri"/>
          <w:b w:val="0"/>
          <w:bCs w:val="0"/>
          <w:sz w:val="22"/>
          <w:szCs w:val="22"/>
        </w:rPr>
        <w:t>Zawodowo związany z jedną z największych kancelarii prawniczych w Polsce, gdzie świadczy pomoc prawną w Zespole Prawa Administracyjnego. Współpracuje z wiodącymi podmiotami gospodarczymi w zakresie doradztwa przy transakcjach M&amp;A w odniesieniu do zagadnień sukcesji praw i obowiązków publicznoprawnych oraz w obszarze ogólnej obsługi administracyjno-prawnej.</w:t>
      </w:r>
    </w:p>
    <w:p w14:paraId="6BEC6810" w14:textId="77777777" w:rsidR="00A03759" w:rsidRPr="00A03759" w:rsidRDefault="00A03759" w:rsidP="00A03759">
      <w:pPr>
        <w:pStyle w:val="Nagwek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cs="Calibri"/>
          <w:b w:val="0"/>
          <w:bCs w:val="0"/>
          <w:sz w:val="22"/>
          <w:szCs w:val="22"/>
        </w:rPr>
      </w:pPr>
      <w:r w:rsidRPr="00A03759">
        <w:rPr>
          <w:rFonts w:cs="Calibri"/>
          <w:b w:val="0"/>
          <w:bCs w:val="0"/>
          <w:sz w:val="22"/>
          <w:szCs w:val="22"/>
        </w:rPr>
        <w:t>Jako ekspert i komentator współpracował z Prawo.pl, „Rzeczpospolitą” oraz „Gazetą Wyborczą”.</w:t>
      </w:r>
    </w:p>
    <w:p w14:paraId="602B7962" w14:textId="139CDEE5" w:rsidR="00590F5A" w:rsidRPr="00A03759" w:rsidRDefault="00A03759" w:rsidP="00A03759">
      <w:pPr>
        <w:pStyle w:val="Nagwek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200" w:line="288" w:lineRule="auto"/>
        <w:jc w:val="both"/>
        <w:rPr>
          <w:b w:val="0"/>
          <w:bCs w:val="0"/>
          <w:sz w:val="22"/>
          <w:szCs w:val="22"/>
        </w:rPr>
      </w:pPr>
      <w:r w:rsidRPr="00A03759">
        <w:rPr>
          <w:rFonts w:cs="Calibri"/>
          <w:b w:val="0"/>
          <w:bCs w:val="0"/>
          <w:sz w:val="22"/>
          <w:szCs w:val="22"/>
        </w:rPr>
        <w:t>Na Uniwersytecie SWPS prowadzi zajęcia z zakresu postępowania administracyjnego i sądowo-administracyjnego oraz prawa publicznego gospodarczego. Studentów szkoli także w obszarze umiejętności miękkich istotnych z punktu widzenia pracy prawnika. Jest opiekunem studentów I roku prawa na Wydziale Psychologii i Prawa w Poznaniu, pełnomocnikiem dziekana ds. organizacyjnych oraz członkiem Kolegium wspomnianego wydziału.</w:t>
      </w:r>
    </w:p>
    <w:p w14:paraId="2FD5B424" w14:textId="77777777" w:rsidR="00590F5A" w:rsidRPr="00590F5A" w:rsidRDefault="00590F5A" w:rsidP="00590F5A"/>
    <w:p w14:paraId="004AFBA8" w14:textId="77777777" w:rsidR="0035461E" w:rsidRDefault="006D286F">
      <w:pPr>
        <w:spacing w:after="200" w:line="264" w:lineRule="auto"/>
        <w:jc w:val="both"/>
      </w:pPr>
      <w:r>
        <w:t>***</w:t>
      </w:r>
    </w:p>
    <w:p w14:paraId="7EAAD3F7" w14:textId="77777777" w:rsidR="00590F5A" w:rsidRDefault="00590F5A" w:rsidP="00590F5A">
      <w:pPr>
        <w:jc w:val="both"/>
        <w:rPr>
          <w:rFonts w:eastAsia="Times New Roman" w:cs="Calibri"/>
          <w:i/>
          <w:sz w:val="24"/>
          <w:szCs w:val="24"/>
        </w:rPr>
      </w:pPr>
      <w:r>
        <w:rPr>
          <w:rFonts w:eastAsia="Times New Roman" w:cs="Calibri"/>
          <w:b/>
          <w:i/>
        </w:rPr>
        <w:t xml:space="preserve">Uniwersytet SWPS </w:t>
      </w:r>
      <w:r>
        <w:rPr>
          <w:rFonts w:eastAsia="Times New Roman" w:cs="Calibri"/>
          <w:i/>
        </w:rPr>
        <w:t>to nowoczesna uczelnia oparta na trwałych wartościach. Silną pozycję zawdzięcza połączeniu wysokiej jakości dydaktyki z badaniami naukowymi prowadzonymi na najwyższym poziomie. Oferuje programy studiów z psychologii, prawa, zarządzania, dziennikarstwa, filologii, kulturoznawstwa, nowych technologii czy wzornictwa, dostosowane do wymagań zmieniającego się rynku pracy. Kampusy Uniwersytetu SWPS znajdują się w sześciu miastach: Warszawie, Wrocławiu, Sopocie, Poznaniu, Katowicach i w Krakowie. Uczelnia posiada uprawnienia do nadawania stopnia naukowego doktora oraz doktora habilitowanego w siedmiu dyscyplinach: psychologia, nauki o kulturze i religii, literaturoznawstwo, nauki prawne, nauki socjologiczne, nauki o polityce i administracji, sztuki plastyczne i konserwacja dzieł sztuki. </w:t>
      </w:r>
    </w:p>
    <w:p w14:paraId="7A92AD7A" w14:textId="77777777" w:rsidR="00590F5A" w:rsidRDefault="00590F5A" w:rsidP="00590F5A">
      <w:pPr>
        <w:jc w:val="both"/>
        <w:rPr>
          <w:rFonts w:eastAsia="Times New Roman" w:cs="Calibri"/>
          <w:i/>
          <w:sz w:val="24"/>
          <w:szCs w:val="24"/>
        </w:rPr>
      </w:pPr>
    </w:p>
    <w:p w14:paraId="6816202C" w14:textId="77777777" w:rsidR="00590F5A" w:rsidRDefault="00590F5A" w:rsidP="00590F5A">
      <w:pPr>
        <w:jc w:val="both"/>
        <w:rPr>
          <w:rFonts w:eastAsia="Times New Roman" w:cs="Calibri"/>
          <w:i/>
          <w:sz w:val="24"/>
          <w:szCs w:val="24"/>
        </w:rPr>
      </w:pPr>
      <w:r>
        <w:rPr>
          <w:rFonts w:eastAsia="Times New Roman" w:cs="Calibri"/>
          <w:i/>
        </w:rPr>
        <w:t>Na Uniwersytecie SWPS funkcjonuje pięć instytutów naukowych, które zajmują się organizacją i koordynacją działalności naukowej pracowników badawczych i badawczo-dydaktycznych uczelni w poszczególnych dyscyplinach: Instytut Psychologii, Instytut Nauk Humanistycznych, Instytut Nauk Społecznych, Instytut Prawa oraz Instytut Projektowania. </w:t>
      </w:r>
    </w:p>
    <w:p w14:paraId="33DD25C1" w14:textId="77777777" w:rsidR="00590F5A" w:rsidRDefault="00590F5A" w:rsidP="00590F5A">
      <w:pPr>
        <w:jc w:val="both"/>
        <w:rPr>
          <w:rFonts w:eastAsia="Times New Roman" w:cs="Calibri"/>
          <w:i/>
          <w:sz w:val="24"/>
          <w:szCs w:val="24"/>
        </w:rPr>
      </w:pPr>
    </w:p>
    <w:p w14:paraId="45FE3AEC" w14:textId="77777777" w:rsidR="00590F5A" w:rsidRDefault="00590F5A" w:rsidP="00590F5A">
      <w:pPr>
        <w:jc w:val="both"/>
        <w:rPr>
          <w:rFonts w:eastAsia="Times New Roman" w:cs="Calibri"/>
          <w:i/>
        </w:rPr>
      </w:pPr>
      <w:r>
        <w:rPr>
          <w:rFonts w:eastAsia="Times New Roman" w:cs="Calibri"/>
          <w:i/>
        </w:rPr>
        <w:t xml:space="preserve">Uniwersytet SWPS należy do sojuszu </w:t>
      </w:r>
      <w:proofErr w:type="spellStart"/>
      <w:r>
        <w:rPr>
          <w:rFonts w:eastAsia="Times New Roman" w:cs="Calibri"/>
          <w:i/>
        </w:rPr>
        <w:t>European</w:t>
      </w:r>
      <w:proofErr w:type="spellEnd"/>
      <w:r>
        <w:rPr>
          <w:rFonts w:eastAsia="Times New Roman" w:cs="Calibri"/>
          <w:i/>
        </w:rPr>
        <w:t xml:space="preserve"> Reform University Alliance (ERUA). Jest to sojusz uczelni zawarty w ramach Inicjatywy Uniwersytetów Europejskich, powołanej i finansowanej przez Komisję Europejską. </w:t>
      </w:r>
    </w:p>
    <w:p w14:paraId="45275975" w14:textId="77777777" w:rsidR="00590F5A" w:rsidRDefault="00590F5A" w:rsidP="00590F5A">
      <w:pPr>
        <w:jc w:val="both"/>
        <w:rPr>
          <w:rFonts w:eastAsia="Times New Roman" w:cs="Calibri"/>
          <w:i/>
          <w:sz w:val="24"/>
          <w:szCs w:val="24"/>
        </w:rPr>
      </w:pPr>
    </w:p>
    <w:p w14:paraId="119FC2A9" w14:textId="77777777" w:rsidR="00590F5A" w:rsidRDefault="00590F5A" w:rsidP="00590F5A">
      <w:pPr>
        <w:jc w:val="both"/>
        <w:rPr>
          <w:rFonts w:eastAsia="Times New Roman" w:cs="Calibri"/>
          <w:i/>
        </w:rPr>
      </w:pPr>
      <w:bookmarkStart w:id="0" w:name="_Hlk129598230"/>
      <w:r>
        <w:rPr>
          <w:rFonts w:eastAsia="Times New Roman" w:cs="Calibri"/>
          <w:i/>
        </w:rPr>
        <w:t xml:space="preserve">Więcej informacji: </w:t>
      </w:r>
      <w:hyperlink r:id="rId6" w:history="1">
        <w:r>
          <w:rPr>
            <w:rStyle w:val="Hipercze"/>
            <w:rFonts w:eastAsia="Times New Roman" w:cs="Calibri"/>
            <w:i/>
          </w:rPr>
          <w:t>www.swps.pl</w:t>
        </w:r>
      </w:hyperlink>
      <w:r>
        <w:rPr>
          <w:rFonts w:eastAsia="Times New Roman" w:cs="Calibri"/>
          <w:i/>
        </w:rPr>
        <w:t xml:space="preserve">, </w:t>
      </w:r>
      <w:hyperlink r:id="rId7" w:history="1">
        <w:r>
          <w:rPr>
            <w:rStyle w:val="Hipercze"/>
            <w:rFonts w:eastAsia="Times New Roman" w:cs="Calibri"/>
            <w:i/>
          </w:rPr>
          <w:t>Facebook</w:t>
        </w:r>
      </w:hyperlink>
      <w:r>
        <w:rPr>
          <w:rFonts w:eastAsia="Times New Roman" w:cs="Calibri"/>
          <w:i/>
        </w:rPr>
        <w:t xml:space="preserve">, </w:t>
      </w:r>
      <w:hyperlink r:id="rId8" w:history="1">
        <w:r>
          <w:rPr>
            <w:rStyle w:val="Hipercze"/>
            <w:rFonts w:eastAsia="Times New Roman" w:cs="Calibri"/>
            <w:i/>
          </w:rPr>
          <w:t>LinkedIn</w:t>
        </w:r>
      </w:hyperlink>
      <w:r>
        <w:rPr>
          <w:rFonts w:eastAsia="Times New Roman" w:cs="Calibri"/>
          <w:i/>
        </w:rPr>
        <w:t xml:space="preserve">, </w:t>
      </w:r>
      <w:hyperlink r:id="rId9" w:history="1">
        <w:r>
          <w:rPr>
            <w:rStyle w:val="Hipercze"/>
            <w:rFonts w:eastAsia="Times New Roman" w:cs="Calibri"/>
            <w:i/>
          </w:rPr>
          <w:t>Instagram</w:t>
        </w:r>
      </w:hyperlink>
      <w:r>
        <w:rPr>
          <w:rFonts w:eastAsia="Times New Roman" w:cs="Calibri"/>
          <w:i/>
        </w:rPr>
        <w:t xml:space="preserve">, </w:t>
      </w:r>
      <w:hyperlink r:id="rId10" w:history="1">
        <w:r>
          <w:rPr>
            <w:rStyle w:val="Hipercze"/>
            <w:rFonts w:eastAsia="Times New Roman" w:cs="Calibri"/>
            <w:i/>
          </w:rPr>
          <w:t>Twitter</w:t>
        </w:r>
      </w:hyperlink>
      <w:bookmarkEnd w:id="0"/>
    </w:p>
    <w:p w14:paraId="38FB891D" w14:textId="77777777" w:rsidR="00590F5A" w:rsidRDefault="00590F5A" w:rsidP="00590F5A"/>
    <w:p w14:paraId="106443B7" w14:textId="6CF2A285" w:rsidR="0035461E" w:rsidRDefault="0035461E">
      <w:pPr>
        <w:shd w:val="clear" w:color="auto" w:fill="FFFFFF"/>
        <w:jc w:val="both"/>
      </w:pPr>
    </w:p>
    <w:sectPr w:rsidR="0035461E">
      <w:headerReference w:type="default" r:id="rId11"/>
      <w:footerReference w:type="default" r:id="rId12"/>
      <w:pgSz w:w="11900" w:h="16840"/>
      <w:pgMar w:top="2268" w:right="1418" w:bottom="1588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5B04FB" w14:textId="77777777" w:rsidR="006942E9" w:rsidRDefault="006942E9">
      <w:r>
        <w:separator/>
      </w:r>
    </w:p>
  </w:endnote>
  <w:endnote w:type="continuationSeparator" w:id="0">
    <w:p w14:paraId="661914AB" w14:textId="77777777" w:rsidR="006942E9" w:rsidRDefault="006942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 Neue">
    <w:altName w:val="Arial"/>
    <w:charset w:val="00"/>
    <w:family w:val="roman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B0DF91" w14:textId="77777777" w:rsidR="0035461E" w:rsidRDefault="0035461E">
    <w:pPr>
      <w:pStyle w:val="Nagweki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38C429" w14:textId="77777777" w:rsidR="006942E9" w:rsidRDefault="006942E9">
      <w:r>
        <w:separator/>
      </w:r>
    </w:p>
  </w:footnote>
  <w:footnote w:type="continuationSeparator" w:id="0">
    <w:p w14:paraId="1E069F1F" w14:textId="77777777" w:rsidR="006942E9" w:rsidRDefault="006942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749FAC" w14:textId="77777777" w:rsidR="0035461E" w:rsidRDefault="006D286F">
    <w:pPr>
      <w:tabs>
        <w:tab w:val="center" w:pos="4536"/>
        <w:tab w:val="right" w:pos="9044"/>
      </w:tabs>
      <w:jc w:val="right"/>
    </w:pPr>
    <w:r>
      <w:rPr>
        <w:noProof/>
      </w:rPr>
      <w:drawing>
        <wp:anchor distT="152400" distB="152400" distL="152400" distR="152400" simplePos="0" relativeHeight="251658240" behindDoc="1" locked="0" layoutInCell="1" allowOverlap="1" wp14:anchorId="454D9B9E" wp14:editId="4D57E705">
          <wp:simplePos x="0" y="0"/>
          <wp:positionH relativeFrom="page">
            <wp:posOffset>4459294</wp:posOffset>
          </wp:positionH>
          <wp:positionV relativeFrom="page">
            <wp:posOffset>177752</wp:posOffset>
          </wp:positionV>
          <wp:extent cx="2184393" cy="1629626"/>
          <wp:effectExtent l="0" t="0" r="0" b="0"/>
          <wp:wrapNone/>
          <wp:docPr id="1073741825" name="officeArt object" descr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1.png" descr="image1.png"/>
                  <pic:cNvPicPr>
                    <a:picLocks noChangeAspect="1"/>
                  </pic:cNvPicPr>
                </pic:nvPicPr>
                <pic:blipFill>
                  <a:blip r:embed="rId1"/>
                  <a:srcRect t="15174" r="15174"/>
                  <a:stretch>
                    <a:fillRect/>
                  </a:stretch>
                </pic:blipFill>
                <pic:spPr>
                  <a:xfrm>
                    <a:off x="0" y="0"/>
                    <a:ext cx="2184393" cy="1629626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461E"/>
    <w:rsid w:val="0035461E"/>
    <w:rsid w:val="00590F5A"/>
    <w:rsid w:val="006942E9"/>
    <w:rsid w:val="006D286F"/>
    <w:rsid w:val="00A03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167346"/>
  <w15:docId w15:val="{25FF3901-768F-4A7D-BAFC-5CE90320BB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hAnsi="Calibri" w:cs="Arial Unicode MS"/>
      <w:color w:val="000000"/>
      <w:u w:color="000000"/>
    </w:rPr>
  </w:style>
  <w:style w:type="paragraph" w:styleId="Nagwek6">
    <w:name w:val="heading 6"/>
    <w:next w:val="Normalny"/>
    <w:uiPriority w:val="9"/>
    <w:unhideWhenUsed/>
    <w:qFormat/>
    <w:pPr>
      <w:keepNext/>
      <w:keepLines/>
      <w:spacing w:before="200" w:after="40"/>
      <w:outlineLvl w:val="5"/>
    </w:pPr>
    <w:rPr>
      <w:rFonts w:ascii="Calibri" w:hAnsi="Calibri" w:cs="Arial Unicode MS"/>
      <w:b/>
      <w:bCs/>
      <w:color w:val="000000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character" w:customStyle="1" w:styleId="Brak">
    <w:name w:val="Brak"/>
  </w:style>
  <w:style w:type="character" w:customStyle="1" w:styleId="Hyperlink0">
    <w:name w:val="Hyperlink.0"/>
    <w:basedOn w:val="Brak"/>
    <w:rPr>
      <w:outline w:val="0"/>
      <w:color w:val="1155CC"/>
      <w:u w:val="single" w:color="1155C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457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.linkedin.com/school/uniwersytet-swps/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facebook.com/UniwersytetSWPS/" TargetMode="External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wps.pl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https://twitter.com/SWPSUniversity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instagram.com/uniwersytet_swps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428</Words>
  <Characters>2570</Characters>
  <Application>Microsoft Office Word</Application>
  <DocSecurity>0</DocSecurity>
  <Lines>21</Lines>
  <Paragraphs>5</Paragraphs>
  <ScaleCrop>false</ScaleCrop>
  <Company/>
  <LinksUpToDate>false</LinksUpToDate>
  <CharactersWithSpaces>2993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Ewelina Krajczyńska-Wujec</dc:creator>
  <cp:lastModifiedBy>Ewelina Krajczyńska-Wujec</cp:lastModifiedBy>
  <cp:revision>2</cp:revision>
  <dcterms:created xsi:type="dcterms:W3CDTF">2024-03-08T11:33:00Z</dcterms:created>
  <dcterms:modified xsi:type="dcterms:W3CDTF">2024-03-08T11:33:00Z</dcterms:modified>
</cp:coreProperties>
</file>