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otnotes+xml" PartName="/word/footnot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before="0" w:line="276" w:lineRule="auto"/>
        <w:jc w:val="both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Narracje dezinformacyjne przed wyborami do Parlamentu Europejskiego</w:t>
      </w:r>
    </w:p>
    <w:p w:rsidR="00000000" w:rsidDel="00000000" w:rsidP="00000000" w:rsidRDefault="00000000" w:rsidRPr="00000000" w14:paraId="00000002">
      <w:pPr>
        <w:spacing w:before="0" w:line="276" w:lineRule="auto"/>
        <w:jc w:val="both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before="0" w:line="276" w:lineRule="auto"/>
        <w:jc w:val="both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Wojna informacyjna jest dla zachodnich rządów pretekstem do ograniczania wolności słowa - uważa czterech na dziesięciu Czechów i Węgrów, jedna trzecia Słowaków i jedna czwarta </w:t>
      </w:r>
      <w:r w:rsidDel="00000000" w:rsidR="00000000" w:rsidRPr="00000000">
        <w:rPr>
          <w:b w:val="1"/>
          <w:sz w:val="28"/>
          <w:szCs w:val="28"/>
          <w:rtl w:val="0"/>
        </w:rPr>
        <w:t xml:space="preserve">Polaków</w:t>
      </w:r>
      <w:r w:rsidDel="00000000" w:rsidR="00000000" w:rsidRPr="00000000">
        <w:rPr>
          <w:b w:val="1"/>
          <w:sz w:val="28"/>
          <w:szCs w:val="28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before="0" w:line="276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before="0" w:line="276" w:lineRule="auto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Od 6 do 9 czerwca 2024 r. w dwudziestu siedmiu krajach europejskich odbywają się wybory do Parlamentu Europejskiego. Środkowoeuropejskie Obserwatorium Mediów Cyfrowych (CEDMO) przeprowadziło reprezentatywne badania w </w:t>
      </w:r>
      <w:r w:rsidDel="00000000" w:rsidR="00000000" w:rsidRPr="00000000">
        <w:rPr>
          <w:sz w:val="20"/>
          <w:szCs w:val="20"/>
          <w:rtl w:val="0"/>
        </w:rPr>
        <w:t xml:space="preserve">krajach Grupy Wyszehradzkiej V4</w:t>
      </w:r>
      <w:r w:rsidDel="00000000" w:rsidR="00000000" w:rsidRPr="00000000">
        <w:rPr>
          <w:sz w:val="20"/>
          <w:szCs w:val="20"/>
          <w:rtl w:val="0"/>
        </w:rPr>
        <w:t xml:space="preserve"> w kontekście wyborów europejskich. Dane zostały zebrane przez IPSOS w Czechach, na Słowacji i Węgrzech oraz przez Instytut Badań Pollster w Polsce. Wyniki opublikowano w specjalnym raporcie tematycznym</w:t>
      </w:r>
      <w:r w:rsidDel="00000000" w:rsidR="00000000" w:rsidRPr="00000000">
        <w:rPr>
          <w:rFonts w:ascii="Arial" w:cs="Arial" w:eastAsia="Arial" w:hAnsi="Arial"/>
          <w:rtl w:val="0"/>
        </w:rPr>
        <w:t xml:space="preserve"> </w:t>
      </w: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Special Brief</w:t>
        </w:r>
      </w:hyperlink>
      <w:r w:rsidDel="00000000" w:rsidR="00000000" w:rsidRPr="00000000">
        <w:rPr>
          <w:rFonts w:ascii="Arial" w:cs="Arial" w:eastAsia="Arial" w:hAnsi="Arial"/>
          <w:rtl w:val="0"/>
        </w:rPr>
        <w:t xml:space="preserve">, </w:t>
      </w:r>
      <w:r w:rsidDel="00000000" w:rsidR="00000000" w:rsidRPr="00000000">
        <w:rPr>
          <w:sz w:val="20"/>
          <w:szCs w:val="20"/>
          <w:rtl w:val="0"/>
        </w:rPr>
        <w:t xml:space="preserve">który zawiera także informacje na temat narracji dezinformacyjnych rozpowszechnianych w Czechach, na Słowacji i w Polsce w związku z wyborami do Parlamentu Europejskiego. Jest to drugi raport poświęcony wyborom europejskim. Uniwersytet SWPS jako członek konsorcjum CEDMO współpracował przy realizacji badań w Polsce. </w:t>
      </w:r>
    </w:p>
    <w:p w:rsidR="00000000" w:rsidDel="00000000" w:rsidP="00000000" w:rsidRDefault="00000000" w:rsidRPr="00000000" w14:paraId="00000006">
      <w:pPr>
        <w:spacing w:before="0" w:line="276" w:lineRule="auto"/>
        <w:jc w:val="both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23" w:right="17" w:firstLine="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W odniesieniu do wpływu wojny w Ukrainie na poszczególne kraje V4, czterech na dziesięciu respondentów w Czechach (41 proc.) i na Węgrzech (41 proc.) zgodziło się, że wojna informacyjna jest jedynie pretekstem dla zachodnich rządów do ograniczenia wolności słowa. Jednocześnie mniej więcej taki sam odsetek ludności w Czechach (39 proc.) uważa, że ich kraj jest areną wojny informacyjnej Federacji Rosyjskiej przeciwko krajom zachodnim. W przypadku Węgier odsetek ten jest niższy (32 proc.). Z kolei na Słowacji więcej osób niż w Czechach (42 proc.) </w:t>
      </w:r>
      <w:r w:rsidDel="00000000" w:rsidR="00000000" w:rsidRPr="00000000">
        <w:rPr>
          <w:sz w:val="20"/>
          <w:szCs w:val="20"/>
          <w:rtl w:val="0"/>
        </w:rPr>
        <w:t xml:space="preserve">uważa, że Rosja prowadzi wojnę informacyjną przeciwko krajom zachodnim</w:t>
      </w:r>
      <w:r w:rsidDel="00000000" w:rsidR="00000000" w:rsidRPr="00000000">
        <w:rPr>
          <w:sz w:val="20"/>
          <w:szCs w:val="20"/>
          <w:rtl w:val="0"/>
        </w:rPr>
        <w:t xml:space="preserve">. W Polsce z tym stwierdzeniem zgadza się nawet ponad połowa populacji (55 proc.).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23" w:right="17" w:firstLine="0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before="0" w:line="276" w:lineRule="auto"/>
        <w:ind w:left="23" w:right="17" w:firstLine="0"/>
        <w:jc w:val="both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sz w:val="21"/>
          <w:szCs w:val="21"/>
          <w:highlight w:val="white"/>
          <w:rtl w:val="0"/>
        </w:rPr>
        <w:t xml:space="preserve">Wykres 1: Wpływ wojny informacyjnej na rosyjską agresję przeciwko Ukrainie</w:t>
      </w:r>
    </w:p>
    <w:p w:rsidR="00000000" w:rsidDel="00000000" w:rsidP="00000000" w:rsidRDefault="00000000" w:rsidRPr="00000000" w14:paraId="0000000A">
      <w:pPr>
        <w:spacing w:before="0" w:line="276" w:lineRule="auto"/>
        <w:ind w:left="23" w:right="17" w:firstLine="0"/>
        <w:jc w:val="both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before="0" w:line="276" w:lineRule="auto"/>
        <w:ind w:left="23" w:right="17" w:firstLine="0"/>
        <w:jc w:val="both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sz w:val="21"/>
          <w:szCs w:val="21"/>
          <w:highlight w:val="white"/>
        </w:rPr>
        <w:drawing>
          <wp:inline distB="114300" distT="114300" distL="114300" distR="114300">
            <wp:extent cx="5399730" cy="2628900"/>
            <wp:effectExtent b="0" l="0" r="0" t="0"/>
            <wp:docPr id="1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99730" cy="2628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before="0" w:line="276" w:lineRule="auto"/>
        <w:ind w:left="23" w:right="17" w:firstLine="0"/>
        <w:jc w:val="both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before="0" w:line="276" w:lineRule="auto"/>
        <w:ind w:left="23" w:right="17" w:firstLine="0"/>
        <w:jc w:val="both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before="0" w:line="276" w:lineRule="auto"/>
        <w:ind w:left="23" w:right="17" w:firstLine="0"/>
        <w:jc w:val="both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before="0" w:line="276" w:lineRule="auto"/>
        <w:ind w:left="23" w:right="17" w:firstLine="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W odpowiedzi na jedno z pytań respondenci deklarowali stopień, w jakim łatwo lub trudno jest im określić (nie)prawdziwość przekazów dotyczących określonych tematów. Polacy wykazali największe zaufanie do swojej zdolności identyfikowania prawdziwości informacji we wszystkich zasugerowanych tematach (z wyjątkiem COVID-19). Węgrzy uznali, że najtrudniej jest im określić prawdziwość informacji, zwłaszcza w przypadku wiadomości związanych z COVID-19 (trudne dla 59 proc.) i wydarzeń na krajowej scenie politycznej (58 proc.). Prawie połowie mieszkańców Czech najtrudniej jest odróżnić wiadomości prawdziwe od fałszywych w obszarze polityki Komisji Europejskiej dotyczącej przyszłości przemysłu motoryzacyjnego - na przykład zakazu stosowania silników spalinowych (trudne dla 49 proc. mieszkańców Czech); następnie informacje dotyczące wojny w Ukrainie (48 proc.); a na trzecim miejscu - wiadomości dotyczące kryzysu energetycznego, w tym zmian cen energii (47 proc.). Te same tematy, jak w przypadku populacji czeskiej, są również trudne dla Słowaków, ale ich zaufanie do własnej zdolności rozpoznawania prawdziwości określonych informacji jest wyższe niż w przypadku Czechów (trzy najtrudniejsze tematy wymienione powyżej zostały zidentyfikowane jako trudne przez około dwie piąte słowackich respondentów). </w:t>
      </w:r>
    </w:p>
    <w:p w:rsidR="00000000" w:rsidDel="00000000" w:rsidP="00000000" w:rsidRDefault="00000000" w:rsidRPr="00000000" w14:paraId="00000010">
      <w:pPr>
        <w:spacing w:line="276" w:lineRule="auto"/>
        <w:ind w:left="23" w:right="17" w:firstLine="0"/>
        <w:jc w:val="both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sz w:val="21"/>
          <w:szCs w:val="21"/>
          <w:highlight w:val="white"/>
          <w:rtl w:val="0"/>
        </w:rPr>
        <w:t xml:space="preserve">Wykres 2: Trudność w określeniu prawdziwości informacji przed wyborami do Parlamentu Europejskiego</w:t>
      </w:r>
    </w:p>
    <w:p w:rsidR="00000000" w:rsidDel="00000000" w:rsidP="00000000" w:rsidRDefault="00000000" w:rsidRPr="00000000" w14:paraId="00000011">
      <w:pPr>
        <w:spacing w:line="276" w:lineRule="auto"/>
        <w:ind w:left="23" w:right="17" w:firstLine="0"/>
        <w:jc w:val="both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sz w:val="21"/>
          <w:szCs w:val="21"/>
          <w:highlight w:val="white"/>
        </w:rPr>
        <w:drawing>
          <wp:inline distB="114300" distT="114300" distL="114300" distR="114300">
            <wp:extent cx="5399730" cy="2755900"/>
            <wp:effectExtent b="0" l="0" r="0" t="0"/>
            <wp:docPr id="1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99730" cy="275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before="0" w:line="276" w:lineRule="auto"/>
        <w:ind w:left="23" w:right="17" w:firstLine="0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before="0" w:line="276" w:lineRule="auto"/>
        <w:ind w:left="23" w:right="17" w:firstLine="0"/>
        <w:jc w:val="both"/>
        <w:rPr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before="0" w:line="276" w:lineRule="auto"/>
        <w:ind w:left="23" w:right="17" w:firstLine="0"/>
        <w:jc w:val="both"/>
        <w:rPr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Jeśli spojrzymy na temat polityki Komisji Europejskiej w sprawie przyszłości przemysłu motoryzacyjnego, który został (średnio) oceniony jako najtrudniejszy do rozstrzygnięcia, widzimy pewne podobieństwa, ale także różnice w odpowiedziach respondentów w krajach V4. We wszystkich krajach temat ten jest trudniejszy do oceny dla kobiet. Trudności z oceną w tym obszarze deklaruje 35-50 proc. mężczyzn (najmniej w Polsce, najwięcej na Węgrzech). Natomiast wśród kobiet odsetek ten jest zawsze wyższy o 5-9 punktów procentowych. Różnice pojawiają się również w kategoriach wiekowych, na przykład w młodszej grupie wiekowej poniżej 35 lat. W Czechach, na Słowacji i na Węgrzech młodzi respondenci zgłaszają trudności w ocenie narracji o przemyśle motoryzacyjnym w 40-52 proc., podczas gdy w Polsce dotyczy to tylko 25 proc. respondentów. We wszystkich krajach zaufanie do oceny autentyczności informacji rośnie wraz z wykształceniem, ale także wraz z częstotliwością korzystania z Internetu </w:t>
      </w:r>
      <w:r w:rsidDel="00000000" w:rsidR="00000000" w:rsidRPr="00000000">
        <w:rPr>
          <w:sz w:val="20"/>
          <w:szCs w:val="20"/>
          <w:rtl w:val="0"/>
        </w:rPr>
        <w:t xml:space="preserve">- komentuje wyniki badania w krajach V4 Lukáš Kutil, analityk danych w CEDMO Hub. </w:t>
      </w:r>
    </w:p>
    <w:p w:rsidR="00000000" w:rsidDel="00000000" w:rsidP="00000000" w:rsidRDefault="00000000" w:rsidRPr="00000000" w14:paraId="00000015">
      <w:pPr>
        <w:widowControl w:val="1"/>
        <w:spacing w:before="0" w:line="276" w:lineRule="auto"/>
        <w:jc w:val="both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widowControl w:val="1"/>
        <w:spacing w:before="0" w:line="276" w:lineRule="auto"/>
        <w:jc w:val="both"/>
        <w:rPr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Wyniki badania wskazują na stosunkowo dobre samopoczucie Polaków, jeśli chodzi o odróżnianie przekazów prawdziwych od przekazów fałszywych. Jest to optymistyczne, należy jednak pamiętać, że dane te dotyczą deklaracji respondentów, nie zaś ich realnej wiedzy czy umiejętności -</w:t>
      </w:r>
      <w:r w:rsidDel="00000000" w:rsidR="00000000" w:rsidRPr="00000000">
        <w:rPr>
          <w:sz w:val="20"/>
          <w:szCs w:val="20"/>
          <w:rtl w:val="0"/>
        </w:rPr>
        <w:t xml:space="preserve"> dodaje Karina Stasiuk-Krajewska, profesorka Uniwersytetu SWPS, który (jako członek konsorcjum CEDMO) współpracował przy realizacji badań w Polsce. </w:t>
      </w:r>
    </w:p>
    <w:p w:rsidR="00000000" w:rsidDel="00000000" w:rsidP="00000000" w:rsidRDefault="00000000" w:rsidRPr="00000000" w14:paraId="00000017">
      <w:pPr>
        <w:widowControl w:val="1"/>
        <w:spacing w:before="0" w:line="276" w:lineRule="auto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widowControl w:val="1"/>
        <w:spacing w:before="0" w:line="276" w:lineRule="auto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Około jedna trzecia respondentów we wszystkich czterech krajach zgodziła się, że niemiecka polityk Ursula von der Leyen powinna pozostać na na stanowisku przewodniczącej Komisji Europejskiej przez kolejne pięć lat. W Czechach i Polsce 33 proc. badanych zgodziło się z tym stwierdzeniem, a na Słowacji i Węgrzech wskaźnik ten wynosi 38 proc.</w:t>
      </w:r>
    </w:p>
    <w:p w:rsidR="00000000" w:rsidDel="00000000" w:rsidP="00000000" w:rsidRDefault="00000000" w:rsidRPr="00000000" w14:paraId="00000019">
      <w:pPr>
        <w:widowControl w:val="1"/>
        <w:spacing w:before="0" w:line="276" w:lineRule="auto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widowControl w:val="1"/>
        <w:spacing w:before="0" w:line="276" w:lineRule="auto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sz w:val="21"/>
          <w:szCs w:val="21"/>
          <w:highlight w:val="white"/>
          <w:rtl w:val="0"/>
        </w:rPr>
        <w:t xml:space="preserve">Wykres 3: Kontynuacja pracy Ursuli von der Leyen na stanowisku szefa Komisji Europejskiej</w:t>
      </w:r>
    </w:p>
    <w:p w:rsidR="00000000" w:rsidDel="00000000" w:rsidP="00000000" w:rsidRDefault="00000000" w:rsidRPr="00000000" w14:paraId="0000001B">
      <w:pPr>
        <w:widowControl w:val="1"/>
        <w:spacing w:before="0" w:line="276" w:lineRule="auto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sz w:val="21"/>
          <w:szCs w:val="21"/>
          <w:highlight w:val="white"/>
        </w:rPr>
        <w:drawing>
          <wp:inline distB="114300" distT="114300" distL="114300" distR="114300">
            <wp:extent cx="5399730" cy="2781300"/>
            <wp:effectExtent b="0" l="0" r="0" t="0"/>
            <wp:docPr id="25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99730" cy="278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1"/>
        <w:spacing w:before="0" w:line="276" w:lineRule="auto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Według raportów fact-checkerów z CEDMO, w pierwszych pięciu miesiącach 2024 r. tematy związane z polityką krajową zaczęły zyskiwać na sile wśród fałszywych narracji w środkowoeuropejskiej przestrzeni informacyjnej online. Częstotliwość artykułów koncentrujących się na tych kwestiach stopniowo rośnie wraz ze zbliżaniem się wyborów europejskich, a w przypadku Słowacji wpływ na ten wzrost miał również zamach na premiera Roberta Fico. Drugim najczęstszym przedmiotem fałszywych narracji była wojna w Ukrainie, która pod koniec 2023 r. nadal dominowała w narracjach dezinformacyjnych. 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Według Petra Gongali z platformy Demagog.cz, członka konsorcjum CEDMO, wśród informacji w Czechach od stycznia do maja 2024 r. fałszywe przekazy związane z Unią Europejską dotyczyły głównie paktu migracyjnego lub działań realizowanych w ramach Zielonego Ładu dla Europy. W debatach przedwyborczych kandydatki i kandydaci do Parlamentu Europejskiego składali fałszywe oświadczenia kwestionujące wpływ CO2 na globalne ocieplenie. W Polsce fałszywe narracje obejmowały wiadomości na temat paktu migracyjnego, Zielonego Ładu lub europejskiej dyrektywy w sprawie charakterystyki energetycznej budynków (EPBD). Na Słowacji rozpowszechniano fałszywe przekazy dotyczące zaangażowania francuskich legionów cudzoziemskich w walki w Ukrainie. Tematem dyskusji wśród kandydatów i kandydatek do Parlamentu Europejskiego była również wojna w Ukrainie, a zwłaszcza mobilizacja.</w:t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W skali ogólnoeuropejskiej odsetek przekazów dezinformacyjnych związanych z kwestiami UE osiągnął szczyt przed zbliżającymi się wyborami europejskimi. Zgodnie z </w:t>
      </w:r>
      <w:hyperlink r:id="rId12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raportem sieci EDMO</w:t>
        </w:r>
      </w:hyperlink>
      <w:r w:rsidDel="00000000" w:rsidR="00000000" w:rsidRPr="00000000">
        <w:rPr>
          <w:sz w:val="20"/>
          <w:szCs w:val="20"/>
          <w:rtl w:val="0"/>
        </w:rPr>
        <w:t xml:space="preserve">, której członkiem jest CEDMO, w kwietniu temat ten był najliczniej reprezentowany wśród wykrytych przekazów dezinformacyjnych. </w:t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widowControl w:val="1"/>
        <w:spacing w:line="276" w:lineRule="auto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sz w:val="21"/>
          <w:szCs w:val="21"/>
          <w:highlight w:val="white"/>
          <w:rtl w:val="0"/>
        </w:rPr>
        <w:t xml:space="preserve">Wykres 4: Udział dezinformacji (według tematu) w całkowitej liczbie zarejestrowanych fałszywych przekazów</w:t>
      </w:r>
    </w:p>
    <w:p w:rsidR="00000000" w:rsidDel="00000000" w:rsidP="00000000" w:rsidRDefault="00000000" w:rsidRPr="00000000" w14:paraId="00000024">
      <w:pPr>
        <w:widowControl w:val="1"/>
        <w:spacing w:line="276" w:lineRule="auto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sz w:val="21"/>
          <w:szCs w:val="21"/>
          <w:highlight w:val="white"/>
        </w:rPr>
        <w:drawing>
          <wp:inline distB="114300" distT="114300" distL="114300" distR="114300">
            <wp:extent cx="5399730" cy="3898900"/>
            <wp:effectExtent b="0" l="0" r="0" t="0"/>
            <wp:docPr id="19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99730" cy="3898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widowControl w:val="1"/>
        <w:spacing w:before="0" w:line="276" w:lineRule="auto"/>
        <w:jc w:val="both"/>
        <w:rPr>
          <w:b w:val="1"/>
          <w:sz w:val="20"/>
          <w:szCs w:val="20"/>
        </w:rPr>
      </w:pPr>
      <w:r w:rsidDel="00000000" w:rsidR="00000000" w:rsidRPr="00000000">
        <w:rPr>
          <w:b w:val="1"/>
          <w:sz w:val="20"/>
          <w:szCs w:val="20"/>
          <w:rtl w:val="0"/>
        </w:rPr>
        <w:t xml:space="preserve">Źródło: edmo.eu (</w:t>
      </w:r>
      <w:hyperlink r:id="rId14">
        <w:r w:rsidDel="00000000" w:rsidR="00000000" w:rsidRPr="00000000">
          <w:rPr>
            <w:b w:val="1"/>
            <w:color w:val="1155cc"/>
            <w:sz w:val="20"/>
            <w:szCs w:val="20"/>
            <w:u w:val="single"/>
            <w:rtl w:val="0"/>
          </w:rPr>
          <w:t xml:space="preserve">Fact-checking Brief nr 35 opublikowany 21 maja 2024 r</w:t>
        </w:r>
      </w:hyperlink>
      <w:r w:rsidDel="00000000" w:rsidR="00000000" w:rsidRPr="00000000">
        <w:rPr>
          <w:b w:val="1"/>
          <w:sz w:val="20"/>
          <w:szCs w:val="20"/>
          <w:rtl w:val="0"/>
        </w:rPr>
        <w:t xml:space="preserve">.)</w:t>
      </w:r>
    </w:p>
    <w:p w:rsidR="00000000" w:rsidDel="00000000" w:rsidP="00000000" w:rsidRDefault="00000000" w:rsidRPr="00000000" w14:paraId="00000026">
      <w:pPr>
        <w:widowControl w:val="1"/>
        <w:spacing w:before="0" w:line="276" w:lineRule="auto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widowControl w:val="1"/>
        <w:spacing w:line="276" w:lineRule="auto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Dane przedstawione w komunikacie prasowym zawierają wyniki ankiety przeprowadzonej dla CEDMO przez agencje </w:t>
      </w:r>
    </w:p>
    <w:p w:rsidR="00000000" w:rsidDel="00000000" w:rsidP="00000000" w:rsidRDefault="00000000" w:rsidRPr="00000000" w14:paraId="00000028">
      <w:pPr>
        <w:widowControl w:val="1"/>
        <w:numPr>
          <w:ilvl w:val="0"/>
          <w:numId w:val="1"/>
        </w:numPr>
        <w:spacing w:line="276" w:lineRule="auto"/>
        <w:ind w:left="720" w:hanging="360"/>
        <w:jc w:val="both"/>
        <w:rPr>
          <w:sz w:val="20"/>
          <w:szCs w:val="20"/>
          <w:u w:val="none"/>
        </w:rPr>
      </w:pPr>
      <w:r w:rsidDel="00000000" w:rsidR="00000000" w:rsidRPr="00000000">
        <w:rPr>
          <w:sz w:val="20"/>
          <w:szCs w:val="20"/>
          <w:rtl w:val="0"/>
        </w:rPr>
        <w:t xml:space="preserve">IPSOS na reprezentatywnej próbie 1006 respondentów w Czechach, 1006 respondentów na Słowacji i 1002 respondentów na Węgrzech. </w:t>
      </w:r>
    </w:p>
    <w:p w:rsidR="00000000" w:rsidDel="00000000" w:rsidP="00000000" w:rsidRDefault="00000000" w:rsidRPr="00000000" w14:paraId="00000029">
      <w:pPr>
        <w:widowControl w:val="1"/>
        <w:numPr>
          <w:ilvl w:val="0"/>
          <w:numId w:val="1"/>
        </w:numPr>
        <w:spacing w:line="276" w:lineRule="auto"/>
        <w:ind w:left="720" w:hanging="360"/>
        <w:jc w:val="both"/>
        <w:rPr>
          <w:sz w:val="20"/>
          <w:szCs w:val="20"/>
          <w:u w:val="none"/>
        </w:rPr>
      </w:pPr>
      <w:r w:rsidDel="00000000" w:rsidR="00000000" w:rsidRPr="00000000">
        <w:rPr>
          <w:sz w:val="20"/>
          <w:szCs w:val="20"/>
          <w:rtl w:val="0"/>
        </w:rPr>
        <w:t xml:space="preserve">oraz Instytut Badań Pollster (na reprezentatywnej próbie 1000 respondentów w Polsce</w:t>
      </w:r>
      <w:r w:rsidDel="00000000" w:rsidR="00000000" w:rsidRPr="00000000">
        <w:rPr>
          <w:sz w:val="20"/>
          <w:szCs w:val="20"/>
          <w:vertAlign w:val="superscript"/>
        </w:rPr>
        <w:footnoteReference w:customMarkFollows="0" w:id="0"/>
      </w:r>
      <w:r w:rsidDel="00000000" w:rsidR="00000000" w:rsidRPr="00000000">
        <w:rPr>
          <w:sz w:val="20"/>
          <w:szCs w:val="20"/>
          <w:rtl w:val="0"/>
        </w:rPr>
        <w:t xml:space="preserve">). </w:t>
      </w:r>
    </w:p>
    <w:p w:rsidR="00000000" w:rsidDel="00000000" w:rsidP="00000000" w:rsidRDefault="00000000" w:rsidRPr="00000000" w14:paraId="0000002A">
      <w:pPr>
        <w:widowControl w:val="1"/>
        <w:spacing w:line="276" w:lineRule="auto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Zbieranie danych we wszystkich krajach V4 odbyło się między 28 marca a 3 kwietnia 2024 r. wśród respondentów w wieku 18-65 lat. </w:t>
      </w:r>
    </w:p>
    <w:p w:rsidR="00000000" w:rsidDel="00000000" w:rsidP="00000000" w:rsidRDefault="00000000" w:rsidRPr="00000000" w14:paraId="0000002B">
      <w:pPr>
        <w:widowControl w:val="1"/>
        <w:spacing w:line="276" w:lineRule="auto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Wyżej wymienione narracje dezinformacyjne związane z wyborami do Parlamentu Europejskiego zostały wykryte przez organizacje weryfikujące fakty należące do konsorcjum CEDMO (</w:t>
      </w:r>
      <w:hyperlink r:id="rId15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AFP</w:t>
        </w:r>
      </w:hyperlink>
      <w:r w:rsidDel="00000000" w:rsidR="00000000" w:rsidRPr="00000000">
        <w:rPr>
          <w:sz w:val="20"/>
          <w:szCs w:val="20"/>
          <w:rtl w:val="0"/>
        </w:rPr>
        <w:t xml:space="preserve">, </w:t>
      </w:r>
      <w:hyperlink r:id="rId16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Demagog.cz</w:t>
        </w:r>
      </w:hyperlink>
      <w:r w:rsidDel="00000000" w:rsidR="00000000" w:rsidRPr="00000000">
        <w:rPr>
          <w:sz w:val="20"/>
          <w:szCs w:val="20"/>
          <w:rtl w:val="0"/>
        </w:rPr>
        <w:t xml:space="preserve">, </w:t>
      </w:r>
      <w:hyperlink r:id="rId17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Demagog.sk</w:t>
        </w:r>
      </w:hyperlink>
      <w:r w:rsidDel="00000000" w:rsidR="00000000" w:rsidRPr="00000000">
        <w:rPr>
          <w:sz w:val="20"/>
          <w:szCs w:val="20"/>
          <w:rtl w:val="0"/>
        </w:rPr>
        <w:t xml:space="preserve"> i </w:t>
      </w:r>
      <w:hyperlink r:id="rId18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Infosecurity.sk</w:t>
        </w:r>
      </w:hyperlink>
      <w:r w:rsidDel="00000000" w:rsidR="00000000" w:rsidRPr="00000000">
        <w:rPr>
          <w:sz w:val="20"/>
          <w:szCs w:val="20"/>
          <w:rtl w:val="0"/>
        </w:rPr>
        <w:t xml:space="preserve">) w ciągu pierwszych pięciu miesięcy 2024 roku. </w:t>
      </w:r>
    </w:p>
    <w:p w:rsidR="00000000" w:rsidDel="00000000" w:rsidP="00000000" w:rsidRDefault="00000000" w:rsidRPr="00000000" w14:paraId="0000002C">
      <w:pPr>
        <w:widowControl w:val="1"/>
        <w:spacing w:line="276" w:lineRule="auto"/>
        <w:jc w:val="both"/>
        <w:rPr>
          <w:sz w:val="20"/>
          <w:szCs w:val="20"/>
        </w:rPr>
      </w:pPr>
      <w:hyperlink r:id="rId19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Link do pobrania grafiki towarzyszącej komunikatowi prasowemu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widowControl w:val="1"/>
        <w:spacing w:line="276" w:lineRule="auto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widowControl w:val="1"/>
        <w:spacing w:before="0" w:line="276" w:lineRule="auto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widowControl w:val="1"/>
        <w:spacing w:before="0" w:line="276" w:lineRule="auto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Roboto" w:cs="Roboto" w:eastAsia="Roboto" w:hAnsi="Roboto"/>
          <w:b w:val="1"/>
          <w:sz w:val="21"/>
          <w:szCs w:val="21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sz w:val="21"/>
          <w:szCs w:val="21"/>
          <w:highlight w:val="white"/>
          <w:rtl w:val="0"/>
        </w:rPr>
        <w:t xml:space="preserve">Kontakt dla mediów (Polska)</w:t>
      </w:r>
    </w:p>
    <w:p w:rsidR="00000000" w:rsidDel="00000000" w:rsidP="00000000" w:rsidRDefault="00000000" w:rsidRPr="00000000" w14:paraId="00000031">
      <w:pPr>
        <w:widowControl w:val="1"/>
        <w:spacing w:line="276" w:lineRule="auto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dr hab. Karina Stasiuk-Krajewska, prof. Uniwersytetu SWPS</w:t>
      </w:r>
    </w:p>
    <w:p w:rsidR="00000000" w:rsidDel="00000000" w:rsidP="00000000" w:rsidRDefault="00000000" w:rsidRPr="00000000" w14:paraId="00000032">
      <w:pPr>
        <w:widowControl w:val="1"/>
        <w:spacing w:line="276" w:lineRule="auto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tel. kom. +48 608 364 554</w:t>
      </w:r>
    </w:p>
    <w:p w:rsidR="00000000" w:rsidDel="00000000" w:rsidP="00000000" w:rsidRDefault="00000000" w:rsidRPr="00000000" w14:paraId="00000033">
      <w:pPr>
        <w:widowControl w:val="1"/>
        <w:spacing w:line="276" w:lineRule="auto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email: </w:t>
      </w:r>
      <w:hyperlink r:id="rId20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kstasiuk-krajewska@swps.edu.pl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widowControl w:val="1"/>
        <w:spacing w:line="276" w:lineRule="auto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widowControl w:val="1"/>
        <w:spacing w:line="276" w:lineRule="auto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widowControl w:val="1"/>
        <w:spacing w:before="0" w:line="276" w:lineRule="auto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widowControl w:val="1"/>
        <w:spacing w:before="0" w:line="276" w:lineRule="auto"/>
        <w:jc w:val="both"/>
        <w:rPr>
          <w:sz w:val="2"/>
          <w:szCs w:val="2"/>
        </w:rPr>
      </w:pPr>
      <w:r w:rsidDel="00000000" w:rsidR="00000000" w:rsidRPr="00000000">
        <w:rPr>
          <w:sz w:val="2"/>
          <w:szCs w:val="2"/>
        </w:rPr>
        <w:drawing>
          <wp:inline distB="114300" distT="114300" distL="114300" distR="114300">
            <wp:extent cx="2010728" cy="819825"/>
            <wp:effectExtent b="0" l="0" r="0" t="0"/>
            <wp:docPr id="2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10728" cy="819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"/>
          <w:szCs w:val="2"/>
          <w:rtl w:val="0"/>
        </w:rPr>
        <w:tab/>
      </w:r>
      <w:r w:rsidDel="00000000" w:rsidR="00000000" w:rsidRPr="00000000">
        <w:rPr>
          <w:sz w:val="2"/>
          <w:szCs w:val="2"/>
        </w:rPr>
        <w:drawing>
          <wp:inline distB="114300" distT="114300" distL="114300" distR="114300">
            <wp:extent cx="2163128" cy="805516"/>
            <wp:effectExtent b="0" l="0" r="0" t="0"/>
            <wp:docPr id="16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63128" cy="8055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"/>
          <w:szCs w:val="2"/>
          <w:rtl w:val="0"/>
        </w:rPr>
        <w:tab/>
      </w:r>
      <w:r w:rsidDel="00000000" w:rsidR="00000000" w:rsidRPr="00000000">
        <w:rPr>
          <w:sz w:val="2"/>
          <w:szCs w:val="2"/>
        </w:rPr>
        <w:drawing>
          <wp:inline distB="114300" distT="114300" distL="114300" distR="114300">
            <wp:extent cx="1105853" cy="1022616"/>
            <wp:effectExtent b="0" l="0" r="0" t="0"/>
            <wp:docPr id="2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05853" cy="10226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"/>
          <w:szCs w:val="2"/>
          <w:rtl w:val="0"/>
        </w:rPr>
        <w:tab/>
      </w:r>
      <w:r w:rsidDel="00000000" w:rsidR="00000000" w:rsidRPr="00000000">
        <w:rPr>
          <w:sz w:val="2"/>
          <w:szCs w:val="2"/>
        </w:rPr>
        <w:drawing>
          <wp:inline distB="114300" distT="114300" distL="114300" distR="114300">
            <wp:extent cx="1486853" cy="1486853"/>
            <wp:effectExtent b="0" l="0" r="0" t="0"/>
            <wp:docPr id="22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86853" cy="148685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"/>
          <w:szCs w:val="2"/>
          <w:rtl w:val="0"/>
        </w:rPr>
        <w:tab/>
      </w:r>
      <w:r w:rsidDel="00000000" w:rsidR="00000000" w:rsidRPr="00000000">
        <w:rPr>
          <w:sz w:val="2"/>
          <w:szCs w:val="2"/>
        </w:rPr>
        <w:drawing>
          <wp:inline distB="114300" distT="114300" distL="114300" distR="114300">
            <wp:extent cx="1915478" cy="1064154"/>
            <wp:effectExtent b="0" l="0" r="0" t="0"/>
            <wp:docPr id="20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15478" cy="106415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headerReference r:id="rId26" w:type="default"/>
      <w:headerReference r:id="rId27" w:type="first"/>
      <w:headerReference r:id="rId28" w:type="even"/>
      <w:footerReference r:id="rId29" w:type="default"/>
      <w:pgSz w:h="16840" w:w="11910" w:orient="portrait"/>
      <w:pgMar w:bottom="2835" w:top="0" w:left="1701" w:right="1701" w:header="3685" w:footer="1701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Allura">
    <w:embedRegular w:fontKey="{00000000-0000-0000-0000-000000000000}" r:id="rId9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B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Montserrat" w:cs="Montserrat" w:eastAsia="Montserrat" w:hAnsi="Montserra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1" distB="0" distT="0" distL="0" distR="0" hidden="0" layoutInCell="1" locked="0" relativeHeight="0" simplePos="0">
              <wp:simplePos x="0" y="0"/>
              <wp:positionH relativeFrom="column">
                <wp:posOffset>0</wp:posOffset>
              </wp:positionH>
              <wp:positionV relativeFrom="paragraph">
                <wp:posOffset>9563100</wp:posOffset>
              </wp:positionV>
              <wp:extent cx="3571110" cy="427230"/>
              <wp:effectExtent b="0" l="0" r="0" t="0"/>
              <wp:wrapNone/>
              <wp:docPr id="13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3589020" y="3594960"/>
                        <a:ext cx="3513960" cy="370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75.9999942779541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Montserrat" w:cs="Montserrat" w:eastAsia="Montserrat" w:hAnsi="Montserrat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14"/>
                              <w:vertAlign w:val="baseline"/>
                            </w:rPr>
                            <w:t xml:space="preserve">Uniwersytet SWPS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75.9999942779541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Montserrat" w:cs="Montserrat" w:eastAsia="Montserrat" w:hAnsi="Montserrat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14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Montserrat" w:cs="Montserrat" w:eastAsia="Montserrat" w:hAnsi="Montserrat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14"/>
                              <w:vertAlign w:val="baseline"/>
                            </w:rPr>
                            <w:t xml:space="preserve">ul. Chodakowska 19/31, 03-815 Warszawa</w:t>
                          </w:r>
                        </w:p>
                      </w:txbxContent>
                    </wps:txbx>
                    <wps:bodyPr anchorCtr="0" anchor="b" bIns="0" lIns="0" spcFirstLastPara="1" rIns="0" wrap="square" tIns="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0" distT="0" distL="0" distR="0" hidden="0" layoutInCell="1" locked="0" relativeHeight="0" simplePos="0">
              <wp:simplePos x="0" y="0"/>
              <wp:positionH relativeFrom="column">
                <wp:posOffset>0</wp:posOffset>
              </wp:positionH>
              <wp:positionV relativeFrom="paragraph">
                <wp:posOffset>9563100</wp:posOffset>
              </wp:positionV>
              <wp:extent cx="3571110" cy="427230"/>
              <wp:effectExtent b="0" l="0" r="0" t="0"/>
              <wp:wrapNone/>
              <wp:docPr id="13" name="image13.png"/>
              <a:graphic>
                <a:graphicData uri="http://schemas.openxmlformats.org/drawingml/2006/picture">
                  <pic:pic>
                    <pic:nvPicPr>
                      <pic:cNvPr id="0" name="image13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571110" cy="42723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1" distB="0" distT="0" distL="0" distR="0" hidden="0" layoutInCell="1" locked="0" relativeHeight="0" simplePos="0">
              <wp:simplePos x="0" y="0"/>
              <wp:positionH relativeFrom="column">
                <wp:posOffset>-901699</wp:posOffset>
              </wp:positionH>
              <wp:positionV relativeFrom="paragraph">
                <wp:posOffset>9817100</wp:posOffset>
              </wp:positionV>
              <wp:extent cx="958950" cy="176670"/>
              <wp:effectExtent b="0" l="0" r="0" t="0"/>
              <wp:wrapNone/>
              <wp:docPr id="14" name=""/>
              <a:graphic>
                <a:graphicData uri="http://schemas.microsoft.com/office/word/2010/wordprocessingShape">
                  <wps:wsp>
                    <wps:cNvSpPr/>
                    <wps:cNvPr id="3" name="Shape 3"/>
                    <wps:spPr>
                      <a:xfrm>
                        <a:off x="4895100" y="3720240"/>
                        <a:ext cx="901800" cy="119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20" w:line="240"/>
                            <w:ind w:left="20" w:right="0" w:firstLine="120"/>
                            <w:jc w:val="right"/>
                            <w:textDirection w:val="btLr"/>
                          </w:pPr>
                          <w:r w:rsidDel="00000000" w:rsidR="00000000" w:rsidRPr="00000000">
                            <w:rPr>
                              <w:rFonts w:ascii="Montserrat" w:cs="Montserrat" w:eastAsia="Montserrat" w:hAnsi="Montserrat"/>
                              <w:b w:val="1"/>
                              <w:i w:val="0"/>
                              <w:smallCaps w:val="0"/>
                              <w:strike w:val="0"/>
                              <w:color w:val="000000"/>
                              <w:sz w:val="14"/>
                              <w:vertAlign w:val="baseline"/>
                            </w:rPr>
                            <w:t xml:space="preserve">www.swps.pl</w:t>
                          </w:r>
                        </w:p>
                      </w:txbxContent>
                    </wps:txbx>
                    <wps:bodyPr anchorCtr="0" anchor="b" bIns="0" lIns="0" spcFirstLastPara="1" rIns="0" wrap="square" tIns="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0" distT="0" distL="0" distR="0" hidden="0" layoutInCell="1" locked="0" relativeHeight="0" simplePos="0">
              <wp:simplePos x="0" y="0"/>
              <wp:positionH relativeFrom="column">
                <wp:posOffset>-901699</wp:posOffset>
              </wp:positionH>
              <wp:positionV relativeFrom="paragraph">
                <wp:posOffset>9817100</wp:posOffset>
              </wp:positionV>
              <wp:extent cx="958950" cy="176670"/>
              <wp:effectExtent b="0" l="0" r="0" t="0"/>
              <wp:wrapNone/>
              <wp:docPr id="14" name="image14.png"/>
              <a:graphic>
                <a:graphicData uri="http://schemas.openxmlformats.org/drawingml/2006/picture">
                  <pic:pic>
                    <pic:nvPicPr>
                      <pic:cNvPr id="0" name="image14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58950" cy="17667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otnote w:id="0">
    <w:p w:rsidR="00000000" w:rsidDel="00000000" w:rsidP="00000000" w:rsidRDefault="00000000" w:rsidRPr="00000000" w14:paraId="0000003C">
      <w:pPr>
        <w:rPr>
          <w:sz w:val="20"/>
          <w:szCs w:val="20"/>
        </w:rPr>
      </w:pPr>
      <w:r w:rsidDel="00000000" w:rsidR="00000000" w:rsidRPr="00000000">
        <w:rPr>
          <w:rStyle w:val="FootnoteReference"/>
          <w:vertAlign w:val="superscript"/>
        </w:rPr>
        <w:footnoteRef/>
      </w:r>
      <w:r w:rsidDel="00000000" w:rsidR="00000000" w:rsidRPr="00000000">
        <w:rPr>
          <w:sz w:val="20"/>
          <w:szCs w:val="20"/>
          <w:rtl w:val="0"/>
        </w:rPr>
        <w:t xml:space="preserve"> Zbieranie danych w Polsce zostało przeprowadzone w ramach międzynarodowego projektu współfinansowanego przez Unię Europejską (działanie nr 2020-EU-IA-0267) oraz polskie Ministerstwo Edukacji i Nauki w ramach programu Ministerstwa Nauki i Szkolnictwa Wyższego "PMW" 2021-2024 (umowa nr 5213/CEF/2021/2). Jednakże wyrażone poglądy i opinie należą wyłącznie do autorów i niekoniecznie </w:t>
      </w:r>
      <w:r w:rsidDel="00000000" w:rsidR="00000000" w:rsidRPr="00000000">
        <w:rPr>
          <w:sz w:val="20"/>
          <w:szCs w:val="20"/>
          <w:rtl w:val="0"/>
        </w:rPr>
        <w:t xml:space="preserve">odzwierciedlają poglądy i opinie Unii Europejskiej. Ani Unia Europejska, ani organ udzielający dotacji nie ponoszą za nie odpowiedzialności.</w:t>
      </w:r>
      <w:r w:rsidDel="00000000" w:rsidR="00000000" w:rsidRPr="00000000">
        <w:rPr>
          <w:rtl w:val="0"/>
        </w:rPr>
      </w:r>
    </w:p>
  </w:footnote>
</w:footnote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8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Montserrat" w:cs="Montserrat" w:eastAsia="Montserrat" w:hAnsi="Montserra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Montserrat" w:cs="Montserrat" w:eastAsia="Montserrat" w:hAnsi="Montserra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anchor allowOverlap="1" behindDoc="1" distB="0" distT="0" distL="0" distR="0" hidden="0" layoutInCell="1" locked="0" relativeHeight="0" simplePos="0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556760" cy="10692000"/>
          <wp:effectExtent b="0" l="0" r="0" t="0"/>
          <wp:wrapNone/>
          <wp:docPr id="15" name="image12.jpg"/>
          <a:graphic>
            <a:graphicData uri="http://schemas.openxmlformats.org/drawingml/2006/picture">
              <pic:pic>
                <pic:nvPicPr>
                  <pic:cNvPr id="0" name="image12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556760" cy="106920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1314450</wp:posOffset>
          </wp:positionH>
          <wp:positionV relativeFrom="paragraph">
            <wp:posOffset>-1619249</wp:posOffset>
          </wp:positionV>
          <wp:extent cx="1811276" cy="554038"/>
          <wp:effectExtent b="0" l="0" r="0" t="0"/>
          <wp:wrapNone/>
          <wp:docPr id="24" name="image3.jpg"/>
          <a:graphic>
            <a:graphicData uri="http://schemas.openxmlformats.org/drawingml/2006/picture">
              <pic:pic>
                <pic:nvPicPr>
                  <pic:cNvPr id="0" name="image3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811276" cy="554038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9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Montserrat" w:cs="Montserrat" w:eastAsia="Montserrat" w:hAnsi="Montserra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Montserrat" w:cs="Montserrat" w:eastAsia="Montserrat" w:hAnsi="Montserra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pict>
        <v:shape id="WordPictureWatermark1" style="position:absolute;width:441.9pt;height:625.15pt;rotation:0;z-index:-503316481;mso-position-horizontal-relative:margin;mso-position-horizontal:center;mso-position-vertical-relative:margin;mso-position-vertical:center;" alt="" type="#_x0000_t75">
          <v:imagedata cropbottom="0f" cropleft="0f" cropright="0f" croptop="0f" r:id="rId1" o:title="image10.jpg"/>
        </v:shape>
      </w:pict>
    </w: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A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Montserrat" w:cs="Montserrat" w:eastAsia="Montserrat" w:hAnsi="Montserra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Montserrat" w:cs="Montserrat" w:eastAsia="Montserrat" w:hAnsi="Montserra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pict>
        <v:shape id="WordPictureWatermark2" style="position:absolute;width:441.9pt;height:625.15pt;rotation:0;z-index:-503316481;mso-position-horizontal-relative:margin;mso-position-horizontal:center;mso-position-vertical-relative:margin;mso-position-vertical:center;" alt="" type="#_x0000_t75">
          <v:imagedata cropbottom="0f" cropleft="0f" cropright="0f" croptop="0f" r:id="rId1" o:title="image10.jpg"/>
        </v:shape>
      </w:pic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Montserrat" w:cs="Montserrat" w:eastAsia="Montserrat" w:hAnsi="Montserrat"/>
        <w:sz w:val="22"/>
        <w:szCs w:val="22"/>
        <w:lang w:val="en-US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spacing w:before="25" w:lineRule="auto"/>
      <w:ind w:left="20"/>
    </w:pPr>
    <w:rPr>
      <w:rFonts w:ascii="Allura" w:cs="Allura" w:eastAsia="Allura" w:hAnsi="Allura"/>
      <w:sz w:val="59"/>
      <w:szCs w:val="59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spacing w:before="25" w:lineRule="auto"/>
      <w:ind w:left="20"/>
    </w:pPr>
    <w:rPr>
      <w:rFonts w:ascii="Allura" w:cs="Allura" w:eastAsia="Allura" w:hAnsi="Allura"/>
      <w:sz w:val="59"/>
      <w:szCs w:val="59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spacing w:before="25" w:lineRule="auto"/>
      <w:ind w:left="20"/>
    </w:pPr>
    <w:rPr>
      <w:rFonts w:ascii="Allura" w:cs="Allura" w:eastAsia="Allura" w:hAnsi="Allura"/>
      <w:sz w:val="59"/>
      <w:szCs w:val="59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spacing w:before="25" w:lineRule="auto"/>
      <w:ind w:left="20"/>
    </w:pPr>
    <w:rPr>
      <w:rFonts w:ascii="Allura" w:cs="Allura" w:eastAsia="Allura" w:hAnsi="Allura"/>
      <w:sz w:val="59"/>
      <w:szCs w:val="59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mailto:kstasiuk-krajewska@swps.edu.pl" TargetMode="External"/><Relationship Id="rId22" Type="http://schemas.openxmlformats.org/officeDocument/2006/relationships/image" Target="media/image5.png"/><Relationship Id="rId21" Type="http://schemas.openxmlformats.org/officeDocument/2006/relationships/image" Target="media/image2.png"/><Relationship Id="rId24" Type="http://schemas.openxmlformats.org/officeDocument/2006/relationships/image" Target="media/image6.jpg"/><Relationship Id="rId23" Type="http://schemas.openxmlformats.org/officeDocument/2006/relationships/image" Target="media/image9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8.png"/><Relationship Id="rId26" Type="http://schemas.openxmlformats.org/officeDocument/2006/relationships/header" Target="header1.xml"/><Relationship Id="rId25" Type="http://schemas.openxmlformats.org/officeDocument/2006/relationships/image" Target="media/image4.jpg"/><Relationship Id="rId28" Type="http://schemas.openxmlformats.org/officeDocument/2006/relationships/header" Target="header3.xml"/><Relationship Id="rId27" Type="http://schemas.openxmlformats.org/officeDocument/2006/relationships/header" Target="header2.xm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29" Type="http://schemas.openxmlformats.org/officeDocument/2006/relationships/footer" Target="footer1.xml"/><Relationship Id="rId7" Type="http://schemas.openxmlformats.org/officeDocument/2006/relationships/customXml" Target="../customXML/item1.xml"/><Relationship Id="rId8" Type="http://schemas.openxmlformats.org/officeDocument/2006/relationships/hyperlink" Target="https://cedmohub.eu/fact-checking/fact-checking-briefs/" TargetMode="External"/><Relationship Id="rId11" Type="http://schemas.openxmlformats.org/officeDocument/2006/relationships/image" Target="media/image11.png"/><Relationship Id="rId10" Type="http://schemas.openxmlformats.org/officeDocument/2006/relationships/image" Target="media/image1.png"/><Relationship Id="rId13" Type="http://schemas.openxmlformats.org/officeDocument/2006/relationships/image" Target="media/image7.png"/><Relationship Id="rId12" Type="http://schemas.openxmlformats.org/officeDocument/2006/relationships/hyperlink" Target="https://edmo.eu/wp-content/uploads/2024/05/EDMO-35-Horizontal.pdf" TargetMode="External"/><Relationship Id="rId15" Type="http://schemas.openxmlformats.org/officeDocument/2006/relationships/hyperlink" Target="https://factcheck.afp.com/" TargetMode="External"/><Relationship Id="rId14" Type="http://schemas.openxmlformats.org/officeDocument/2006/relationships/hyperlink" Target="https://edmo.eu/wp-content/uploads/2024/05/EDMO-35-Horizontal.pdf" TargetMode="External"/><Relationship Id="rId17" Type="http://schemas.openxmlformats.org/officeDocument/2006/relationships/hyperlink" Target="http://demagog.sk" TargetMode="External"/><Relationship Id="rId16" Type="http://schemas.openxmlformats.org/officeDocument/2006/relationships/hyperlink" Target="http://demagog.cz" TargetMode="External"/><Relationship Id="rId19" Type="http://schemas.openxmlformats.org/officeDocument/2006/relationships/hyperlink" Target="https://drive.google.com/drive/folders/1uJlT3FwwA-WzYifWBYulwxEJYNuhyoih?usp=sharing" TargetMode="External"/><Relationship Id="rId18" Type="http://schemas.openxmlformats.org/officeDocument/2006/relationships/hyperlink" Target="http://infosecurity.sk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Allura-regular.ttf"/><Relationship Id="rId5" Type="http://schemas.openxmlformats.org/officeDocument/2006/relationships/font" Target="fonts/Montserrat-regular.ttf"/><Relationship Id="rId6" Type="http://schemas.openxmlformats.org/officeDocument/2006/relationships/font" Target="fonts/Montserrat-bold.ttf"/><Relationship Id="rId7" Type="http://schemas.openxmlformats.org/officeDocument/2006/relationships/font" Target="fonts/Montserrat-italic.ttf"/><Relationship Id="rId8" Type="http://schemas.openxmlformats.org/officeDocument/2006/relationships/font" Target="fonts/Montserrat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3.png"/><Relationship Id="rId2" Type="http://schemas.openxmlformats.org/officeDocument/2006/relationships/image" Target="media/image14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2.jpg"/><Relationship Id="rId2" Type="http://schemas.openxmlformats.org/officeDocument/2006/relationships/image" Target="media/image3.jp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0.jpg"/></Relationships>
</file>

<file path=word/_rels/header3.xml.rels><?xml version="1.0" encoding="UTF-8" standalone="yes"?>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gW1xhStbmnA/EOormqP6+xz17iA==">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lpwstr>2021-08-23T00:00:00Z</vt:lpwstr>
  </property>
  <property fmtid="{D5CDD505-2E9C-101B-9397-08002B2CF9AE}" pid="3" name="Creator">
    <vt:lpwstr>Adobe Illustrator 25.0 (Macintosh)</vt:lpwstr>
  </property>
  <property fmtid="{D5CDD505-2E9C-101B-9397-08002B2CF9AE}" pid="4" name="Created">
    <vt:lpwstr>2021-08-23T00:00:00Z</vt:lpwstr>
  </property>
</Properties>
</file>